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val="0"/>
        <w:snapToGrid/>
        <w:spacing w:line="560" w:lineRule="exact"/>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rPr>
        <w:t>关于《</w:t>
      </w:r>
      <w:r>
        <w:rPr>
          <w:rFonts w:hint="eastAsia" w:ascii="方正小标宋_GBK" w:hAnsi="方正小标宋_GBK" w:eastAsia="方正小标宋_GBK" w:cs="方正小标宋_GBK"/>
          <w:b w:val="0"/>
          <w:bCs/>
          <w:sz w:val="44"/>
          <w:szCs w:val="44"/>
          <w:lang w:val="en-US" w:eastAsia="zh-CN"/>
        </w:rPr>
        <w:t>公主岭市非居民天然气价格上下游</w:t>
      </w:r>
    </w:p>
    <w:p>
      <w:pPr>
        <w:pStyle w:val="4"/>
        <w:keepNext w:val="0"/>
        <w:keepLines w:val="0"/>
        <w:pageBreakBefore w:val="0"/>
        <w:widowControl/>
        <w:shd w:val="clear" w:color="auto" w:fill="FFFFFF"/>
        <w:kinsoku/>
        <w:wordWrap/>
        <w:overflowPunct/>
        <w:topLinePunct w:val="0"/>
        <w:autoSpaceDE/>
        <w:autoSpaceDN/>
        <w:bidi w:val="0"/>
        <w:adjustRightInd w:val="0"/>
        <w:snapToGrid/>
        <w:spacing w:line="560" w:lineRule="exact"/>
        <w:jc w:val="center"/>
        <w:rPr>
          <w:rFonts w:hint="eastAsia" w:ascii="仿宋_GB2312" w:hAnsi="仿宋_GB2312" w:eastAsia="仿宋_GB2312" w:cs="仿宋_GB2312"/>
          <w:b/>
          <w:color w:val="000000"/>
          <w:spacing w:val="28"/>
          <w:w w:val="90"/>
          <w:kern w:val="0"/>
          <w:sz w:val="32"/>
          <w:szCs w:val="32"/>
        </w:rPr>
      </w:pPr>
      <w:r>
        <w:rPr>
          <w:rFonts w:hint="eastAsia" w:ascii="方正小标宋_GBK" w:hAnsi="方正小标宋_GBK" w:eastAsia="方正小标宋_GBK" w:cs="方正小标宋_GBK"/>
          <w:b w:val="0"/>
          <w:bCs/>
          <w:sz w:val="44"/>
          <w:szCs w:val="44"/>
          <w:lang w:val="en-US" w:eastAsia="zh-CN"/>
        </w:rPr>
        <w:t>联动机制实施方案</w:t>
      </w:r>
      <w:r>
        <w:rPr>
          <w:rFonts w:hint="eastAsia" w:ascii="方正小标宋_GBK" w:hAnsi="方正小标宋_GBK" w:eastAsia="方正小标宋_GBK" w:cs="方正小标宋_GBK"/>
          <w:b w:val="0"/>
          <w:bCs/>
          <w:sz w:val="44"/>
          <w:szCs w:val="44"/>
        </w:rPr>
        <w:t>》的</w:t>
      </w:r>
      <w:r>
        <w:rPr>
          <w:rFonts w:hint="eastAsia" w:ascii="方正小标宋_GBK" w:hAnsi="方正小标宋_GBK" w:eastAsia="方正小标宋_GBK" w:cs="方正小标宋_GBK"/>
          <w:b w:val="0"/>
          <w:bCs/>
          <w:sz w:val="44"/>
          <w:szCs w:val="44"/>
          <w:lang w:eastAsia="zh-CN"/>
        </w:rPr>
        <w:t>起草</w:t>
      </w:r>
      <w:r>
        <w:rPr>
          <w:rFonts w:hint="eastAsia" w:ascii="方正小标宋_GBK" w:hAnsi="方正小标宋_GBK" w:eastAsia="方正小标宋_GBK" w:cs="方正小标宋_GBK"/>
          <w:b w:val="0"/>
          <w:bCs/>
          <w:sz w:val="44"/>
          <w:szCs w:val="44"/>
        </w:rPr>
        <w:t>说明</w:t>
      </w:r>
    </w:p>
    <w:p>
      <w:pPr>
        <w:keepNext w:val="0"/>
        <w:keepLines w:val="0"/>
        <w:pageBreakBefore w:val="0"/>
        <w:widowControl/>
        <w:kinsoku/>
        <w:wordWrap/>
        <w:overflowPunct/>
        <w:topLinePunct w:val="0"/>
        <w:autoSpaceDE/>
        <w:autoSpaceDN/>
        <w:bidi w:val="0"/>
        <w:adjustRightInd w:val="0"/>
        <w:snapToGrid/>
        <w:spacing w:beforeAutospacing="0" w:afterAutospacing="0" w:line="560" w:lineRule="exact"/>
        <w:ind w:right="329" w:firstLine="694"/>
        <w:jc w:val="both"/>
        <w:textAlignment w:val="auto"/>
        <w:rPr>
          <w:rFonts w:hint="eastAsia" w:ascii="黑体" w:hAnsi="黑体" w:eastAsia="黑体" w:cs="黑体"/>
          <w:b w:val="0"/>
          <w:bCs/>
          <w:color w:val="000000"/>
          <w:spacing w:val="0"/>
          <w:w w:val="100"/>
          <w:kern w:val="0"/>
          <w:sz w:val="32"/>
          <w:szCs w:val="32"/>
        </w:rPr>
      </w:pPr>
    </w:p>
    <w:p>
      <w:pPr>
        <w:keepNext w:val="0"/>
        <w:keepLines w:val="0"/>
        <w:pageBreakBefore w:val="0"/>
        <w:widowControl/>
        <w:kinsoku/>
        <w:wordWrap/>
        <w:overflowPunct/>
        <w:topLinePunct w:val="0"/>
        <w:autoSpaceDE/>
        <w:autoSpaceDN/>
        <w:bidi w:val="0"/>
        <w:adjustRightInd w:val="0"/>
        <w:snapToGrid/>
        <w:spacing w:beforeAutospacing="0" w:afterAutospacing="0" w:line="560" w:lineRule="exact"/>
        <w:ind w:right="329" w:firstLine="694"/>
        <w:jc w:val="both"/>
        <w:textAlignment w:val="auto"/>
        <w:rPr>
          <w:rFonts w:hint="eastAsia" w:ascii="仿宋_GB2312" w:hAnsi="仿宋_GB2312" w:eastAsia="黑体" w:cs="仿宋_GB2312"/>
          <w:spacing w:val="0"/>
          <w:w w:val="100"/>
          <w:sz w:val="32"/>
          <w:szCs w:val="32"/>
          <w:lang w:eastAsia="zh-CN"/>
        </w:rPr>
      </w:pPr>
      <w:r>
        <w:rPr>
          <w:rFonts w:hint="eastAsia" w:ascii="黑体" w:hAnsi="黑体" w:eastAsia="黑体" w:cs="黑体"/>
          <w:b w:val="0"/>
          <w:bCs/>
          <w:color w:val="000000"/>
          <w:spacing w:val="0"/>
          <w:w w:val="100"/>
          <w:kern w:val="0"/>
          <w:sz w:val="32"/>
          <w:szCs w:val="32"/>
        </w:rPr>
        <w:t>一、</w:t>
      </w:r>
      <w:r>
        <w:rPr>
          <w:rFonts w:hint="eastAsia" w:ascii="黑体" w:hAnsi="黑体" w:eastAsia="黑体" w:cs="黑体"/>
          <w:b w:val="0"/>
          <w:bCs/>
          <w:color w:val="000000"/>
          <w:spacing w:val="0"/>
          <w:w w:val="100"/>
          <w:kern w:val="0"/>
          <w:sz w:val="32"/>
          <w:szCs w:val="32"/>
          <w:lang w:eastAsia="zh-CN"/>
        </w:rPr>
        <w:t>起草背景和依据</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60" w:lineRule="exact"/>
        <w:ind w:firstLine="640" w:firstLineChars="200"/>
        <w:jc w:val="both"/>
        <w:rPr>
          <w:rFonts w:hint="eastAsia" w:ascii="仿宋" w:hAnsi="仿宋" w:eastAsia="仿宋" w:cs="仿宋_GB2312"/>
          <w:color w:val="000000"/>
          <w:sz w:val="32"/>
          <w:szCs w:val="32"/>
          <w:shd w:val="clear" w:color="auto" w:fill="FFFFFF"/>
          <w:lang w:eastAsia="zh-CN"/>
        </w:rPr>
      </w:pPr>
      <w:r>
        <w:rPr>
          <w:rFonts w:hint="eastAsia" w:ascii="仿宋" w:hAnsi="仿宋" w:eastAsia="仿宋" w:cs="仿宋_GB2312"/>
          <w:color w:val="000000"/>
          <w:sz w:val="32"/>
          <w:szCs w:val="32"/>
          <w:shd w:val="clear" w:color="auto" w:fill="FFFFFF"/>
          <w:lang w:val="en-US" w:eastAsia="zh-CN"/>
        </w:rPr>
        <w:t>根据省物价局《吉林省城镇管道燃气配气价格管理办法(试行)的通知》(吉省价格〔2018〕92号)、《长春市发展和改革委员会关于实施非居民天然气价格联动机制的通知》(长发价格〔2021〕165号)等文件精神,以及省市关于推进价格机制改革的部署，为顺畅传导天然气上下游价格、促进行业高质量发展，结合我市实际，市发改局草拟了我市《非居民天然气价格上下游联动机制实施方案</w:t>
      </w:r>
      <w:r>
        <w:rPr>
          <w:rFonts w:hint="eastAsia" w:ascii="仿宋" w:hAnsi="仿宋" w:eastAsia="仿宋" w:cs="仿宋_GB2312"/>
          <w:color w:val="000000"/>
          <w:sz w:val="32"/>
          <w:szCs w:val="32"/>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60" w:lineRule="exact"/>
        <w:ind w:firstLine="640" w:firstLineChars="200"/>
        <w:jc w:val="both"/>
        <w:rPr>
          <w:rFonts w:hint="eastAsia" w:ascii="黑体" w:hAnsi="黑体" w:eastAsia="黑体" w:cs="黑体"/>
          <w:b w:val="0"/>
          <w:bCs/>
          <w:color w:val="000000"/>
          <w:spacing w:val="0"/>
          <w:w w:val="100"/>
          <w:kern w:val="0"/>
          <w:sz w:val="32"/>
          <w:szCs w:val="32"/>
          <w:lang w:eastAsia="zh-CN"/>
        </w:rPr>
      </w:pPr>
      <w:r>
        <w:rPr>
          <w:rFonts w:hint="eastAsia" w:ascii="黑体" w:hAnsi="黑体" w:eastAsia="黑体" w:cs="黑体"/>
          <w:b w:val="0"/>
          <w:bCs/>
          <w:color w:val="000000"/>
          <w:spacing w:val="0"/>
          <w:w w:val="100"/>
          <w:kern w:val="0"/>
          <w:sz w:val="32"/>
          <w:szCs w:val="32"/>
        </w:rPr>
        <w:t>二、</w:t>
      </w:r>
      <w:r>
        <w:rPr>
          <w:rFonts w:hint="eastAsia" w:ascii="黑体" w:hAnsi="黑体" w:eastAsia="黑体" w:cs="黑体"/>
          <w:b w:val="0"/>
          <w:bCs/>
          <w:color w:val="000000"/>
          <w:spacing w:val="0"/>
          <w:w w:val="100"/>
          <w:kern w:val="0"/>
          <w:sz w:val="32"/>
          <w:szCs w:val="32"/>
          <w:lang w:eastAsia="zh-CN"/>
        </w:rPr>
        <w:t>起草过程</w:t>
      </w:r>
    </w:p>
    <w:p>
      <w:pPr>
        <w:pStyle w:val="2"/>
        <w:keepNext w:val="0"/>
        <w:keepLines w:val="0"/>
        <w:pageBreakBefore w:val="0"/>
        <w:kinsoku/>
        <w:wordWrap/>
        <w:overflowPunct/>
        <w:topLinePunct w:val="0"/>
        <w:autoSpaceDE/>
        <w:autoSpaceDN/>
        <w:bidi w:val="0"/>
        <w:adjustRightInd w:val="0"/>
        <w:snapToGrid/>
        <w:spacing w:after="0" w:line="560" w:lineRule="exact"/>
        <w:ind w:left="0" w:leftChars="0" w:firstLine="640" w:firstLineChars="200"/>
        <w:rPr>
          <w:rFonts w:hint="eastAsia" w:hAnsi="仿宋_GB2312" w:cs="仿宋_GB2312"/>
          <w:sz w:val="32"/>
          <w:szCs w:val="32"/>
          <w:lang w:eastAsia="zh-CN"/>
        </w:rPr>
      </w:pPr>
      <w:r>
        <w:rPr>
          <w:rFonts w:hint="eastAsia" w:ascii="仿宋_GB2312" w:hAnsi="仿宋_GB2312" w:eastAsia="仿宋_GB2312" w:cs="仿宋_GB2312"/>
          <w:color w:val="000000"/>
          <w:spacing w:val="0"/>
          <w:w w:val="100"/>
          <w:kern w:val="0"/>
          <w:sz w:val="32"/>
          <w:szCs w:val="32"/>
          <w:lang w:eastAsia="zh-CN"/>
        </w:rPr>
        <w:t>市发改局</w:t>
      </w:r>
      <w:r>
        <w:rPr>
          <w:rFonts w:hint="eastAsia" w:hAnsi="仿宋_GB2312" w:cs="仿宋_GB2312"/>
          <w:color w:val="000000"/>
          <w:spacing w:val="0"/>
          <w:w w:val="100"/>
          <w:kern w:val="0"/>
          <w:sz w:val="32"/>
          <w:szCs w:val="32"/>
          <w:lang w:eastAsia="zh-CN"/>
        </w:rPr>
        <w:t>在</w:t>
      </w:r>
      <w:r>
        <w:rPr>
          <w:rFonts w:hint="eastAsia" w:ascii="仿宋_GB2312" w:hAnsi="仿宋_GB2312" w:eastAsia="仿宋_GB2312" w:cs="仿宋_GB2312"/>
          <w:sz w:val="32"/>
          <w:szCs w:val="32"/>
        </w:rPr>
        <w:t>认真研读国家</w:t>
      </w:r>
      <w:r>
        <w:rPr>
          <w:rFonts w:hint="eastAsia" w:hAnsi="仿宋_GB2312" w:cs="仿宋_GB2312"/>
          <w:sz w:val="32"/>
          <w:szCs w:val="32"/>
          <w:lang w:eastAsia="zh-CN"/>
        </w:rPr>
        <w:t>及</w:t>
      </w:r>
      <w:r>
        <w:rPr>
          <w:rFonts w:hint="eastAsia" w:ascii="仿宋_GB2312" w:hAnsi="仿宋_GB2312" w:eastAsia="仿宋_GB2312" w:cs="仿宋_GB2312"/>
          <w:sz w:val="32"/>
          <w:szCs w:val="32"/>
        </w:rPr>
        <w:t>省</w:t>
      </w:r>
      <w:r>
        <w:rPr>
          <w:rFonts w:hint="eastAsia" w:hAnsi="仿宋_GB2312" w:cs="仿宋_GB2312"/>
          <w:sz w:val="32"/>
          <w:szCs w:val="32"/>
          <w:lang w:eastAsia="zh-CN"/>
        </w:rPr>
        <w:t>相关</w:t>
      </w:r>
      <w:r>
        <w:rPr>
          <w:rFonts w:hint="eastAsia" w:ascii="仿宋_GB2312" w:hAnsi="仿宋_GB2312" w:eastAsia="仿宋_GB2312" w:cs="仿宋_GB2312"/>
          <w:sz w:val="32"/>
          <w:szCs w:val="32"/>
        </w:rPr>
        <w:t>文件</w:t>
      </w:r>
      <w:r>
        <w:rPr>
          <w:rFonts w:hint="eastAsia" w:hAnsi="仿宋_GB2312" w:cs="仿宋_GB2312"/>
          <w:sz w:val="32"/>
          <w:szCs w:val="32"/>
          <w:lang w:eastAsia="zh-CN"/>
        </w:rPr>
        <w:t>基础上</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pacing w:val="0"/>
          <w:w w:val="100"/>
          <w:kern w:val="0"/>
          <w:sz w:val="32"/>
          <w:szCs w:val="32"/>
          <w:lang w:eastAsia="zh-CN"/>
        </w:rPr>
        <w:t>对</w:t>
      </w:r>
      <w:r>
        <w:rPr>
          <w:rFonts w:hint="eastAsia" w:hAnsi="仿宋_GB2312" w:cs="仿宋_GB2312"/>
          <w:color w:val="000000"/>
          <w:spacing w:val="0"/>
          <w:w w:val="100"/>
          <w:kern w:val="0"/>
          <w:sz w:val="32"/>
          <w:szCs w:val="32"/>
          <w:lang w:eastAsia="zh-CN"/>
        </w:rPr>
        <w:t>燃气企业</w:t>
      </w:r>
      <w:r>
        <w:rPr>
          <w:rFonts w:hint="eastAsia" w:ascii="仿宋_GB2312" w:hAnsi="仿宋_GB2312" w:eastAsia="仿宋_GB2312" w:cs="仿宋_GB2312"/>
          <w:color w:val="000000"/>
          <w:spacing w:val="0"/>
          <w:w w:val="100"/>
          <w:kern w:val="0"/>
          <w:sz w:val="32"/>
          <w:szCs w:val="32"/>
          <w:lang w:eastAsia="zh-CN"/>
        </w:rPr>
        <w:t>进行调研</w:t>
      </w:r>
      <w:r>
        <w:rPr>
          <w:rFonts w:hint="eastAsia" w:hAnsi="仿宋_GB2312" w:cs="仿宋_GB2312"/>
          <w:color w:val="000000"/>
          <w:spacing w:val="0"/>
          <w:w w:val="100"/>
          <w:kern w:val="0"/>
          <w:sz w:val="32"/>
          <w:szCs w:val="32"/>
          <w:lang w:eastAsia="zh-CN"/>
        </w:rPr>
        <w:t>并开展</w:t>
      </w:r>
      <w:r>
        <w:rPr>
          <w:rFonts w:hint="eastAsia" w:ascii="仿宋_GB2312" w:hAnsi="仿宋_GB2312" w:eastAsia="仿宋_GB2312" w:cs="仿宋_GB2312"/>
          <w:color w:val="000000"/>
          <w:spacing w:val="0"/>
          <w:w w:val="100"/>
          <w:kern w:val="0"/>
          <w:sz w:val="32"/>
          <w:szCs w:val="32"/>
          <w:lang w:eastAsia="zh-CN"/>
        </w:rPr>
        <w:t>成本测算</w:t>
      </w:r>
      <w:r>
        <w:rPr>
          <w:rFonts w:hint="eastAsia" w:hAnsi="仿宋_GB2312" w:cs="仿宋_GB2312"/>
          <w:color w:val="000000"/>
          <w:spacing w:val="0"/>
          <w:w w:val="100"/>
          <w:kern w:val="0"/>
          <w:sz w:val="32"/>
          <w:szCs w:val="32"/>
          <w:lang w:eastAsia="zh-CN"/>
        </w:rPr>
        <w:t>，</w:t>
      </w:r>
      <w:r>
        <w:rPr>
          <w:rFonts w:hint="eastAsia" w:ascii="仿宋_GB2312" w:hAnsi="仿宋_GB2312" w:eastAsia="仿宋_GB2312" w:cs="仿宋_GB2312"/>
          <w:sz w:val="32"/>
          <w:szCs w:val="32"/>
        </w:rPr>
        <w:t>学习、借鉴先进地区的经验做法和创新举措，</w:t>
      </w:r>
      <w:r>
        <w:rPr>
          <w:rFonts w:hint="eastAsia" w:hAnsi="仿宋_GB2312" w:cs="仿宋_GB2312"/>
          <w:sz w:val="32"/>
          <w:szCs w:val="32"/>
          <w:lang w:eastAsia="zh-CN"/>
        </w:rPr>
        <w:t>形成了《方案》征求意见稿。</w:t>
      </w:r>
    </w:p>
    <w:p>
      <w:pPr>
        <w:pStyle w:val="2"/>
        <w:keepNext w:val="0"/>
        <w:keepLines w:val="0"/>
        <w:pageBreakBefore w:val="0"/>
        <w:numPr>
          <w:ilvl w:val="0"/>
          <w:numId w:val="1"/>
        </w:numPr>
        <w:kinsoku/>
        <w:wordWrap/>
        <w:overflowPunct/>
        <w:topLinePunct w:val="0"/>
        <w:autoSpaceDE/>
        <w:autoSpaceDN/>
        <w:bidi w:val="0"/>
        <w:adjustRightInd w:val="0"/>
        <w:snapToGrid/>
        <w:spacing w:after="0" w:line="56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主要内容</w:t>
      </w:r>
      <w:r>
        <w:rPr>
          <w:rFonts w:hint="eastAsia" w:ascii="黑体" w:hAnsi="黑体" w:eastAsia="黑体" w:cs="黑体"/>
          <w:sz w:val="32"/>
          <w:szCs w:val="32"/>
          <w:lang w:val="en-US" w:eastAsia="zh-CN"/>
        </w:rPr>
        <w:t xml:space="preserve"> </w:t>
      </w:r>
    </w:p>
    <w:p>
      <w:pPr>
        <w:pStyle w:val="2"/>
        <w:keepNext w:val="0"/>
        <w:keepLines w:val="0"/>
        <w:pageBreakBefore w:val="0"/>
        <w:numPr>
          <w:ilvl w:val="0"/>
          <w:numId w:val="0"/>
        </w:numPr>
        <w:kinsoku/>
        <w:wordWrap/>
        <w:overflowPunct/>
        <w:topLinePunct w:val="0"/>
        <w:autoSpaceDE/>
        <w:autoSpaceDN/>
        <w:bidi w:val="0"/>
        <w:adjustRightInd w:val="0"/>
        <w:snapToGrid/>
        <w:spacing w:after="0" w:line="560" w:lineRule="exact"/>
        <w:ind w:firstLine="640" w:firstLineChars="200"/>
        <w:rPr>
          <w:rFonts w:hint="eastAsia" w:hAnsi="仿宋_GB2312" w:cs="仿宋_GB2312"/>
          <w:color w:val="000000"/>
          <w:spacing w:val="0"/>
          <w:w w:val="100"/>
          <w:kern w:val="0"/>
          <w:sz w:val="32"/>
          <w:szCs w:val="32"/>
          <w:lang w:eastAsia="zh-CN"/>
        </w:rPr>
      </w:pPr>
      <w:r>
        <w:rPr>
          <w:rFonts w:hint="eastAsia" w:hAnsi="仿宋_GB2312" w:cs="仿宋_GB2312"/>
          <w:color w:val="000000"/>
          <w:spacing w:val="0"/>
          <w:w w:val="100"/>
          <w:kern w:val="0"/>
          <w:sz w:val="32"/>
          <w:szCs w:val="32"/>
          <w:lang w:eastAsia="zh-CN"/>
        </w:rPr>
        <w:t>方案</w:t>
      </w:r>
      <w:r>
        <w:rPr>
          <w:rFonts w:hint="eastAsia" w:ascii="仿宋_GB2312" w:hAnsi="仿宋_GB2312" w:eastAsia="仿宋_GB2312" w:cs="仿宋_GB2312"/>
          <w:color w:val="000000"/>
          <w:spacing w:val="0"/>
          <w:w w:val="100"/>
          <w:kern w:val="0"/>
          <w:sz w:val="32"/>
          <w:szCs w:val="32"/>
        </w:rPr>
        <w:t>主要包括以下</w:t>
      </w:r>
      <w:r>
        <w:rPr>
          <w:rFonts w:hint="eastAsia" w:hAnsi="仿宋_GB2312" w:cs="仿宋_GB2312"/>
          <w:color w:val="000000"/>
          <w:spacing w:val="0"/>
          <w:w w:val="100"/>
          <w:kern w:val="0"/>
          <w:sz w:val="32"/>
          <w:szCs w:val="32"/>
          <w:lang w:eastAsia="zh-CN"/>
        </w:rPr>
        <w:t>三</w:t>
      </w:r>
      <w:r>
        <w:rPr>
          <w:rFonts w:hint="eastAsia" w:ascii="仿宋_GB2312" w:hAnsi="仿宋_GB2312" w:eastAsia="仿宋_GB2312" w:cs="仿宋_GB2312"/>
          <w:color w:val="000000"/>
          <w:spacing w:val="0"/>
          <w:w w:val="100"/>
          <w:kern w:val="0"/>
          <w:sz w:val="32"/>
          <w:szCs w:val="32"/>
        </w:rPr>
        <w:t>个方面的内容</w:t>
      </w:r>
      <w:r>
        <w:rPr>
          <w:rFonts w:hint="eastAsia" w:hAnsi="仿宋_GB2312" w:cs="仿宋_GB2312"/>
          <w:color w:val="000000"/>
          <w:spacing w:val="0"/>
          <w:w w:val="100"/>
          <w:kern w:val="0"/>
          <w:sz w:val="32"/>
          <w:szCs w:val="32"/>
          <w:lang w:eastAsia="zh-CN"/>
        </w:rPr>
        <w:t>：一是基本原则，主要是</w:t>
      </w:r>
      <w:r>
        <w:rPr>
          <w:rFonts w:hint="eastAsia" w:ascii="仿宋_GB2312" w:hAnsi="仿宋_GB2312" w:eastAsia="仿宋_GB2312" w:cs="仿宋_GB2312"/>
          <w:sz w:val="32"/>
          <w:szCs w:val="32"/>
          <w:lang w:val="en-US" w:eastAsia="zh-CN"/>
        </w:rPr>
        <w:t>兼顾行业上下游、企业发展和民生保障、经济效益和社会公平</w:t>
      </w:r>
      <w:r>
        <w:rPr>
          <w:rFonts w:hint="eastAsia" w:hAnsi="仿宋_GB2312" w:cs="仿宋_GB2312"/>
          <w:sz w:val="32"/>
          <w:szCs w:val="32"/>
          <w:lang w:val="en-US" w:eastAsia="zh-CN"/>
        </w:rPr>
        <w:t>的原则；</w:t>
      </w:r>
      <w:r>
        <w:rPr>
          <w:rFonts w:hint="eastAsia" w:hAnsi="仿宋_GB2312" w:cs="仿宋_GB2312"/>
          <w:color w:val="000000"/>
          <w:spacing w:val="0"/>
          <w:w w:val="100"/>
          <w:kern w:val="0"/>
          <w:sz w:val="32"/>
          <w:szCs w:val="32"/>
          <w:lang w:eastAsia="zh-CN"/>
        </w:rPr>
        <w:t>二是主要内容，包括</w:t>
      </w:r>
      <w:r>
        <w:rPr>
          <w:rFonts w:hint="eastAsia" w:hAnsi="仿宋_GB2312" w:cs="仿宋_GB2312"/>
          <w:color w:val="000000"/>
          <w:spacing w:val="0"/>
          <w:w w:val="100"/>
          <w:kern w:val="0"/>
          <w:sz w:val="32"/>
          <w:szCs w:val="32"/>
          <w:lang w:val="en-US" w:eastAsia="zh-CN"/>
        </w:rPr>
        <w:t>联动范围、联动方法、启动条件、调价幅度、联动公式、调价程序等方面；三是有关要求。</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_x000b_x000c_">
    <w:altName w:val="微软雅黑"/>
    <w:panose1 w:val="00000000000000000000"/>
    <w:charset w:val="00"/>
    <w:family w:val="roman"/>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D7B46"/>
    <w:multiLevelType w:val="singleLevel"/>
    <w:tmpl w:val="080D7B4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MzRmYzBhNTBjYjEwODA2YjI1MmNhNWY3YTZjMGUifQ=="/>
  </w:docVars>
  <w:rsids>
    <w:rsidRoot w:val="2DD475AC"/>
    <w:rsid w:val="2DD4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240" w:line="600" w:lineRule="exact"/>
      <w:ind w:firstLine="420" w:firstLineChars="200"/>
      <w:jc w:val="both"/>
      <w:textAlignment w:val="baseline"/>
    </w:pPr>
  </w:style>
  <w:style w:type="paragraph" w:customStyle="1" w:styleId="3">
    <w:name w:val="BodyTextIndent"/>
    <w:basedOn w:val="1"/>
    <w:qFormat/>
    <w:uiPriority w:val="0"/>
    <w:pPr>
      <w:spacing w:after="240" w:line="600" w:lineRule="exact"/>
      <w:ind w:firstLine="640" w:firstLineChars="200"/>
      <w:jc w:val="both"/>
      <w:textAlignment w:val="baseline"/>
    </w:pPr>
    <w:rPr>
      <w:rFonts w:ascii="仿宋_GB2312" w:hAnsi="_x000b_x000c_" w:eastAsia="仿宋_GB2312"/>
      <w:kern w:val="2"/>
      <w:sz w:val="32"/>
      <w:szCs w:val="24"/>
      <w:lang w:val="en-US" w:eastAsia="zh-CN" w:bidi="ar-SA"/>
    </w:rPr>
  </w:style>
  <w:style w:type="paragraph" w:styleId="4">
    <w:name w:val="Normal (Web)"/>
    <w:basedOn w:val="1"/>
    <w:semiHidden/>
    <w:unhideWhenUsed/>
    <w:qFormat/>
    <w:uiPriority w:val="99"/>
    <w:rPr>
      <w:rFonts w:ascii="Times New Roman" w:hAnsi="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2023-08-23T05:40:00Z</dcterms:created>
  <dc:creator>Administrator</dc:creator>
  <cp:lastModifiedBy>Administrator</cp:lastModifiedBy>
  <dcterms:modified xsi:type="dcterms:W3CDTF">2023-08-23T05:49:55Z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41B140C519204B628226AEE65A3491E1_11</vt:lpwstr>
  </property>
</Properties>
</file>