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spacing w:beforeLines="0" w:afterLines="0"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冶金等工贸行业</w:t>
      </w:r>
    </w:p>
    <w:p>
      <w:pPr>
        <w:spacing w:beforeLines="0" w:afterLines="0"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安全生产大检查工作方案</w:t>
      </w:r>
    </w:p>
    <w:p>
      <w:pPr>
        <w:spacing w:beforeLines="0" w:afterLines="0" w:line="560" w:lineRule="exact"/>
        <w:jc w:val="center"/>
        <w:rPr>
          <w:rFonts w:hint="eastAsia" w:ascii="宋体" w:hAnsi="宋体" w:eastAsia="宋体" w:cs="宋体"/>
          <w:b/>
          <w:bCs w:val="0"/>
          <w:sz w:val="44"/>
          <w:szCs w:val="44"/>
        </w:rPr>
      </w:pPr>
    </w:p>
    <w:p>
      <w:pPr>
        <w:spacing w:beforeLines="0" w:afterLines="0" w:line="56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为有效防范遏制较大以上事故发生，进一步推动冶金等工贸行业</w:t>
      </w:r>
      <w:r>
        <w:rPr>
          <w:rFonts w:hint="eastAsia" w:ascii="仿宋_GB2312" w:hAnsi="仿宋_GB2312" w:eastAsia="仿宋_GB2312" w:cs="仿宋_GB2312"/>
          <w:b w:val="0"/>
          <w:bCs/>
          <w:sz w:val="32"/>
          <w:szCs w:val="32"/>
          <w:lang w:eastAsia="zh-CN"/>
        </w:rPr>
        <w:t>安全生产大检查</w:t>
      </w:r>
      <w:r>
        <w:rPr>
          <w:rFonts w:hint="eastAsia" w:ascii="仿宋_GB2312" w:hAnsi="仿宋_GB2312" w:eastAsia="仿宋_GB2312" w:cs="仿宋_GB2312"/>
          <w:b w:val="0"/>
          <w:bCs/>
          <w:sz w:val="32"/>
          <w:szCs w:val="32"/>
        </w:rPr>
        <w:t>活动，</w:t>
      </w:r>
      <w:r>
        <w:rPr>
          <w:rFonts w:hint="eastAsia" w:ascii="仿宋_GB2312" w:hAnsi="仿宋_GB2312" w:eastAsia="仿宋_GB2312" w:cs="仿宋_GB2312"/>
          <w:b w:val="0"/>
          <w:bCs/>
          <w:sz w:val="32"/>
          <w:szCs w:val="32"/>
          <w:lang w:eastAsia="zh-CN"/>
        </w:rPr>
        <w:t>全面落实企业主体责任和法定责任，全面摸清安全隐患和薄弱环节，彻底排除重大安全隐患，特制定本检查方案。</w:t>
      </w:r>
    </w:p>
    <w:p>
      <w:pPr>
        <w:spacing w:beforeLines="0" w:afterLines="0"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sz w:val="32"/>
          <w:szCs w:val="32"/>
        </w:rPr>
        <w:t>（一）企业层面</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1.冶金企业。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高温熔融金属安全管控情况：会议室、活动室、休息室、更衣室等人员聚集场所是否设置在高温熔融金属吊运影响区域；高温熔融金属冶炼、吊运区域是否存在积水的情况。④高温熔融金属吊运安全：吊运铁水、钢水与液渣起重机是否使用冶金起重机；炼钢厂吊运高温熔融金属的铸造起重机是否使用固定式龙门钩。⑤煤气安全管控情况：煤气柜与周边建筑物的防火间距是否符合相关规定，煤气可能泄漏的危险区域是否设置警示标示及固定报警仪。</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.建材企业。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水泥企业重大隐患管控情况：水泥企业的水泥简型库清库安全管理情况，水泥工厂煤磨、煤粉仓及袋式收尘器（或煤粉仓）是否设置温度和一氧化碳监测报警装置，或设置防爆及气体灭火装置设施，燃气窑炉是否设置燃气低压警报器和快速切断阀。</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.机械企业。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铸造熔炼炉炉底、炉坑及浇注坑等区域积水、积油清理情况。④动火作业区域内或动火对象内的易燃易爆气体清除情况。</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.轻工作业。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白酒储存、勾兑场所乙醇浓度检测报警装置设置情况。④日用玻璃、陶瓷、搪瓷制造企业燃气窑炉安全报警装置设置情况。</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.粮食仓储企业。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粮食出入仓作业及内部清理作业安全防护措施的落实情况。</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.粉尘涉爆企业。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建构筑物。粉尘渉爆危险场所是否设置在非框架结构的多层建构筑物内，与居民区、员工宿舍、会议室等人员密集场所安全距离是否满足要求。④除尘系统。可燃性粉尘与可燃气体等易加剧爆炸危险的介质是否共用了一套除尘系统，不同防火分区的除尘系统是否存在互联互通的情况；干式除尘系统是否规范了泄爆、隔爆、惰化、抑爆等任一种控爆措施；除尘系统是否存在正压方式送粉尘且采取防范点燃源措施的情况；除尘系统是否采用粉尘沉降除尘，是否存在采用干式巷道式构建筑物作为除尘风道的情况；铝镁等金属粉尘及木质粉尘的干式除尘系统是否规范设置了锁气卸灰装置。⑤防火防爆。粉尘爆炸危险场所的20区是否按规范使用了防爆电气设备设施；在粉碎、研磨、造粒等易于产生机械点火源的工艺前，是否按规范设置去除铁、石等异物的装置；木质品加工企业，与砂光机连接的风管是否按规范设置了火花探测报警装置。⑥粉尘清理。粉尘清扫制度建立情况，作业现场积尘是否及时规范地进行了清理。</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.液氨制冷企业。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安全生产标准化自评情况。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较大危险因素标识管控措施的落实情况。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包装间、分割间、产品整理间等人员较多场所空调系统是否采用氨直接蒸发空调系统。④快速冻结装置是否设置在单独的作业间内，作业间作业人员是否超过9人。</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.存在有限空间作业企业。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有限空间风险标识和台账建立情况。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有限空间作业场所安全警示标志的设置情况。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有限空间作业审批制度的落实情况。</w:t>
      </w:r>
    </w:p>
    <w:p>
      <w:pPr>
        <w:widowControl/>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bookmarkStart w:id="0" w:name="_GoBack"/>
      <w:bookmarkEnd w:id="0"/>
      <w:r>
        <w:rPr>
          <w:rFonts w:hint="eastAsia" w:ascii="仿宋_GB2312" w:hAnsi="仿宋_GB2312" w:eastAsia="仿宋_GB2312" w:cs="仿宋_GB2312"/>
          <w:kern w:val="0"/>
          <w:sz w:val="32"/>
          <w:szCs w:val="32"/>
        </w:rPr>
        <w:t>.重大危险源企业。</w:t>
      </w:r>
      <w:r>
        <w:rPr>
          <w:rFonts w:hint="eastAsia" w:ascii="仿宋_GB2312" w:hAnsi="仿宋_GB2312" w:eastAsia="仿宋_GB2312" w:cs="仿宋_GB2312"/>
          <w:kern w:val="0"/>
          <w:sz w:val="32"/>
          <w:szCs w:val="32"/>
        </w:rPr>
        <w:sym w:font="Wingdings" w:char="F081"/>
      </w:r>
      <w:r>
        <w:rPr>
          <w:rFonts w:hint="eastAsia" w:ascii="仿宋_GB2312" w:hAnsi="仿宋_GB2312" w:eastAsia="仿宋_GB2312" w:cs="仿宋_GB2312"/>
          <w:kern w:val="0"/>
          <w:sz w:val="32"/>
          <w:szCs w:val="32"/>
        </w:rPr>
        <w:t>重大危险源的运行情况、安全管理规章制度及安全操作规程制定和落实情况。</w:t>
      </w:r>
      <w:r>
        <w:rPr>
          <w:rFonts w:hint="eastAsia" w:ascii="仿宋_GB2312" w:hAnsi="仿宋_GB2312" w:eastAsia="仿宋_GB2312" w:cs="仿宋_GB2312"/>
          <w:kern w:val="0"/>
          <w:sz w:val="32"/>
          <w:szCs w:val="32"/>
        </w:rPr>
        <w:sym w:font="Wingdings" w:char="F082"/>
      </w:r>
      <w:r>
        <w:rPr>
          <w:rFonts w:hint="eastAsia" w:ascii="仿宋_GB2312" w:hAnsi="仿宋_GB2312" w:eastAsia="仿宋_GB2312" w:cs="仿宋_GB2312"/>
          <w:kern w:val="0"/>
          <w:sz w:val="32"/>
          <w:szCs w:val="32"/>
        </w:rPr>
        <w:t>重大危险源的辨识、分级、安全评估、登记建档、备案情况。</w:t>
      </w:r>
      <w:r>
        <w:rPr>
          <w:rFonts w:hint="eastAsia" w:ascii="仿宋_GB2312" w:hAnsi="仿宋_GB2312" w:eastAsia="仿宋_GB2312" w:cs="仿宋_GB2312"/>
          <w:kern w:val="0"/>
          <w:sz w:val="32"/>
          <w:szCs w:val="32"/>
        </w:rPr>
        <w:sym w:font="Wingdings" w:char="F083"/>
      </w:r>
      <w:r>
        <w:rPr>
          <w:rFonts w:hint="eastAsia" w:ascii="仿宋_GB2312" w:hAnsi="仿宋_GB2312" w:eastAsia="仿宋_GB2312" w:cs="仿宋_GB2312"/>
          <w:kern w:val="0"/>
          <w:sz w:val="32"/>
          <w:szCs w:val="32"/>
        </w:rPr>
        <w:t>重大危险源的监测监控情况。④重大危险源安全设施和安全监测监控系统的检测、检验以及维护保养情况。⑤重大危险源事故应急预案的编制、评审、备案、修订和演练情况。⑥有关从业人员的安全培训教育情况。⑦安全标志设置情况。⑧应急救援器材、设备、物资配备情况。⑨预防和控制事故措施的落实情况。</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onospace">
    <w:altName w:val="仿宋_GB2312"/>
    <w:panose1 w:val="00000000000000000000"/>
    <w:charset w:val="00"/>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B681C"/>
    <w:rsid w:val="03A57C18"/>
    <w:rsid w:val="665B681C"/>
    <w:rsid w:val="6EB22001"/>
    <w:rsid w:val="7A5451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2017-08-04T07:10:00Z</dcterms:created>
  <dc:creator>Administrator</dc:creator>
  <cp:lastModifiedBy>Administrator</cp:lastModifiedBy>
  <cp:lastPrinted>2017-08-04T07:39:54Z</cp:lastPrinted>
  <dcterms:modified xsi:type="dcterms:W3CDTF">2017-08-04T07:46:13Z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