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城区基准地价和纯收益表</w:t>
      </w:r>
    </w:p>
    <w:p>
      <w:pPr>
        <w:spacing w:line="576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表1 城区各类型用地基准地价表</w:t>
      </w:r>
    </w:p>
    <w:p>
      <w:pPr>
        <w:spacing w:line="576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单位：元/平方米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542"/>
        <w:gridCol w:w="702"/>
        <w:gridCol w:w="702"/>
        <w:gridCol w:w="702"/>
        <w:gridCol w:w="702"/>
        <w:gridCol w:w="702"/>
        <w:gridCol w:w="702"/>
        <w:gridCol w:w="702"/>
        <w:gridCol w:w="703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93" w:type="pct"/>
            <w:gridSpan w:val="2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用地类型</w:t>
            </w: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Ⅰ</w:t>
            </w: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Ⅱ</w:t>
            </w: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Ⅲ</w:t>
            </w: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Ⅳ</w:t>
            </w:r>
          </w:p>
        </w:tc>
        <w:tc>
          <w:tcPr>
            <w:tcW w:w="410" w:type="pct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93" w:type="pct"/>
            <w:gridSpan w:val="2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基准地价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楼面地价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基准地价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楼面地价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基准地价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楼面地价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基准地价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楼面地价</w:t>
            </w:r>
          </w:p>
        </w:tc>
        <w:tc>
          <w:tcPr>
            <w:tcW w:w="410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商业服务业用地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商业用地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2450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1225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2290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1145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1576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788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1369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685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商务金融用地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2083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1042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1947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974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1340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670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1164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582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娱乐用地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2205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1103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2061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1031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1418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709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1232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616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其他商业服务业用地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2450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1225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2290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1145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1576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788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1369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685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居住用地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城镇住宅用地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2009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1005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1606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803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1470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735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工矿用地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工业用地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651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420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380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采矿用地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651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420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380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仓储用地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物流仓储用地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651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420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380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储备库用地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651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420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380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公共管理与公共服务用地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机关团体用地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966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772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716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科研用地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1198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958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877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文化用地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1198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958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877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教育用地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1198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958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877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体育用地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1198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958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877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医疗卫生用地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1288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1030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943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社会福利用地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1056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844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773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1.2</w:t>
            </w:r>
          </w:p>
        </w:tc>
      </w:tr>
    </w:tbl>
    <w:p>
      <w:pPr>
        <w:spacing w:line="576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表2 城区各类型用地土地纯收益表</w:t>
      </w:r>
    </w:p>
    <w:p>
      <w:pPr>
        <w:spacing w:line="576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单位：元/平方米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82"/>
        <w:gridCol w:w="765"/>
        <w:gridCol w:w="765"/>
        <w:gridCol w:w="765"/>
        <w:gridCol w:w="765"/>
        <w:gridCol w:w="765"/>
        <w:gridCol w:w="765"/>
        <w:gridCol w:w="766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0" w:type="pct"/>
            <w:gridSpan w:val="2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用地类型</w:t>
            </w:r>
          </w:p>
        </w:tc>
        <w:tc>
          <w:tcPr>
            <w:tcW w:w="898" w:type="pct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Ⅰ</w:t>
            </w:r>
          </w:p>
        </w:tc>
        <w:tc>
          <w:tcPr>
            <w:tcW w:w="898" w:type="pct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Ⅱ</w:t>
            </w:r>
          </w:p>
        </w:tc>
        <w:tc>
          <w:tcPr>
            <w:tcW w:w="898" w:type="pct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Ⅲ</w:t>
            </w:r>
          </w:p>
        </w:tc>
        <w:tc>
          <w:tcPr>
            <w:tcW w:w="896" w:type="pct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10" w:type="pct"/>
            <w:gridSpan w:val="2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土地纯收益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楼面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纯收益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土地纯收益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楼面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纯收益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土地纯收益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楼面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纯收益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土地纯收益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楼面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纯收益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商业服务业用地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商业用地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1106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553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883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442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610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305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497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商务金融用地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940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470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751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376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519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260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422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娱乐用地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995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498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795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398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549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275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447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其他商业服务业用地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1106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553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883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442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610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305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497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居住用地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城镇住宅用地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691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346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562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281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515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258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工矿用地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工业用地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144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采矿用地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144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仓储用地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物流仓储用地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144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储备库用地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144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restar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公共管理与公共服务用地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机关团体用地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88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65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科研用地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文化用地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教育用地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体育用地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医疗卫生用地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117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94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pct"/>
            <w:vMerge w:val="continue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社会福利用地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77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WE1NGIxNmI5YzA3ODg0OGM5MDU4M2U3YmY2YzQifQ=="/>
  </w:docVars>
  <w:rsids>
    <w:rsidRoot w:val="00000000"/>
    <w:rsid w:val="502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2024-05-20T02:13:27Z</dcterms:created>
  <dc:creator>Epoch</dc:creator>
  <cp:lastModifiedBy>太阳！</cp:lastModifiedBy>
  <dcterms:modified xsi:type="dcterms:W3CDTF">2024-05-20T02:13:41Z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228CD78FE40D401DB7C2D73253B40FB4_12</vt:lpwstr>
  </property>
</Properties>
</file>