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48"/>
          <w:szCs w:val="48"/>
        </w:rPr>
        <w:t>公主岭市交通运输局行政权力运行流程图</w:t>
      </w:r>
    </w:p>
    <w:p>
      <w:pPr>
        <w:rPr>
          <w:rFonts w:ascii="华文楷体" w:hAnsi="华文楷体" w:eastAsia="华文楷体"/>
          <w:b/>
          <w:sz w:val="28"/>
          <w:szCs w:val="28"/>
        </w:rPr>
      </w:pPr>
      <w:r>
        <w:rPr>
          <w:rFonts w:hint="eastAsia"/>
          <w:b/>
          <w:sz w:val="32"/>
          <w:szCs w:val="32"/>
        </w:rPr>
        <w:t>项目名称：</w:t>
      </w:r>
      <w:r>
        <w:rPr>
          <w:rFonts w:hint="eastAsia" w:ascii="华文楷体" w:hAnsi="华文楷体" w:eastAsia="华文楷体"/>
          <w:b/>
          <w:sz w:val="32"/>
          <w:szCs w:val="32"/>
        </w:rPr>
        <w:t>道路</w:t>
      </w:r>
      <w:bookmarkStart w:id="0" w:name="_GoBack"/>
      <w:bookmarkEnd w:id="0"/>
      <w:r>
        <w:rPr>
          <w:rFonts w:hint="eastAsia" w:ascii="华文楷体" w:hAnsi="华文楷体" w:eastAsia="华文楷体"/>
          <w:b/>
          <w:sz w:val="32"/>
          <w:szCs w:val="32"/>
        </w:rPr>
        <w:t>运输站（场）经营许可</w:t>
      </w:r>
    </w:p>
    <w:p>
      <w:pPr>
        <w:rPr>
          <w:rFonts w:eastAsia="Times New Roman"/>
        </w:rPr>
      </w:pPr>
      <w:r>
        <w:rPr>
          <w:rFonts w:ascii="Calibri" w:hAnsi="Calibri" w:eastAsia="宋体" w:cs="Times New Roman"/>
          <w:kern w:val="1"/>
          <w:sz w:val="21"/>
          <w:szCs w:val="22"/>
          <w:lang w:val="en-US" w:eastAsia="zh-CN" w:bidi="ar-SA"/>
        </w:rPr>
        <w:pict>
          <v:shape id="_x0000_s1026" o:spid="_x0000_s1026" type="#_x0000_t202" style="position:absolute;left:0;margin-left:0pt;margin-top:0pt;height:50pt;width:50pt;rotation:0f;visibility:hidden;z-index:251659264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1"/>
          <w:sz w:val="21"/>
          <w:szCs w:val="22"/>
          <w:lang w:val="en-US" w:eastAsia="zh-CN" w:bidi="ar-SA"/>
        </w:rPr>
        <w:pict>
          <v:group id="组合 1026" o:spid="_x0000_s1027" style="height:595.5pt;width:535.95pt;rotation:0f;" coordorigin="0,0" coordsize="10719,11910">
            <o:lock v:ext="edit" position="f" selection="f" grouping="f" rotation="f" cropping="f" text="f" aspectratio="f"/>
            <v:rect id="_x0000_s1028" o:spid="_x0000_s1028" style="position:absolute;left:0;top:0;height:11910;width:10719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</v:rect>
            <v:roundrect id="_x0000_s1029" o:spid="_x0000_s1029" style="position:absolute;left:2445;top:512;height:584;width:1830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申请人提出申请</w:t>
                    </w:r>
                  </w:p>
                </w:txbxContent>
              </v:textbox>
            </v:roundrect>
            <v:shape id="_x0000_s1030" o:spid="_x0000_s1030" type="#_x0000_t32" style="position:absolute;left:1185;top:801;height:3;width:1260;rotation:0f;" o:ole="f" fillcolor="#FFFFFF" filled="f" o:preferrelative="t" stroked="t" coordorigin="0,0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shape>
            <v:shape id="_x0000_s1031" o:spid="_x0000_s1031" type="#_x0000_t32" style="position:absolute;left:1185;top:805;height:711;width:0;rotation:0f;" o:ole="f" fillcolor="#FFFFFF" filled="f" o:preferrelative="t" stroked="t" coordorigin="0,0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roundrect id="_x0000_s1032" o:spid="_x0000_s1032" style="position:absolute;left:0;top:1516;height:1554;width:2099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受理、不予受理的原因，补充材料，并出具相应文书（一次性告知书）</w:t>
                    </w:r>
                  </w:p>
                </w:txbxContent>
              </v:textbox>
            </v:roundrect>
            <v:shape id="_x0000_s1033" o:spid="_x0000_s1033" type="#_x0000_t32" style="position:absolute;left:4275;top:801;flip:y;height:3;width:764;rotation:0f;" o:ole="f" fillcolor="#FFFFFF" filled="f" o:preferrelative="t" stroked="t" coordorigin="0,0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shape>
            <v:shape id="_x0000_s1034" o:spid="_x0000_s1034" type="#_x0000_t176" style="position:absolute;left:5039;top:167;height:1628;width:5250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spacing w:line="26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>申请材料目录：（一）《道路旅客运输站经营申请表》；（二）客运站竣工验收证明和站级验收证明；（三）拟招聘的专业人员、管理人员的身份证明和专业证书及其复印件；（四）负责人身份证明及其复印件，经办人的身份证明及其复印件和委托书；（五）业务操作规程和安全管理制度文本。</w:t>
                    </w:r>
                  </w:p>
                </w:txbxContent>
              </v:textbox>
            </v:shape>
            <v:shape id="_x0000_s1035" o:spid="_x0000_s1035" type="#_x0000_t176" style="position:absolute;left:2445;top:2019;height:765;width:1830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政务大厅窗口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初审</w:t>
                    </w:r>
                  </w:p>
                </w:txbxContent>
              </v:textbox>
            </v:shape>
            <v:shape id="_x0000_s1036" o:spid="_x0000_s1036" type="#_x0000_t67" style="position:absolute;left:3247;top:1096;height:923;width:142;rotation:0f;" o:ole="f" fillcolor="#FFFFFF" filled="t" o:preferrelative="t" stroked="t" coordorigin="0,0" coordsize="21600,21600" adj="16200,54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shape id="_x0000_s1037" o:spid="_x0000_s1037" type="#_x0000_t32" style="position:absolute;left:2099;top:2401;flip:x;height:3;width:346;rotation:0f;" o:ole="f" fillcolor="#FFFFFF" filled="f" o:preferrelative="t" stroked="t" coordorigin="0,0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shape id="_x0000_s1038" o:spid="_x0000_s1038" type="#_x0000_t67" style="position:absolute;left:3247;top:2784;height:885;width:142;rotation:0f;" o:ole="f" fillcolor="#FFFFFF" filled="t" o:preferrelative="t" stroked="t" coordorigin="0,0" coordsize="21600,21600" adj="16200,54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roundrect id="_x0000_s1039" o:spid="_x0000_s1039" style="position:absolute;left:2340;top:3669;height:795;width:1919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客运科审核、公示、现场审查</w:t>
                    </w:r>
                  </w:p>
                </w:txbxContent>
              </v:textbox>
            </v:roundrect>
            <v:shape id="_x0000_s1040" o:spid="_x0000_s1040" type="#_x0000_t32" style="position:absolute;left:4259;top:4064;flip:y;height:3;width:571;rotation:0f;" o:ole="f" fillcolor="#FFFFFF" filled="f" o:preferrelative="t" stroked="t" coordorigin="0,0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shape>
            <v:roundrect id="_x0000_s1041" o:spid="_x0000_s1041" style="position:absolute;left:4840;top:2899;height:2299;width:5879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spacing w:line="240" w:lineRule="exact"/>
                    </w:pPr>
                    <w:r>
                      <w:rPr>
                        <w:rFonts w:hint="eastAsia" w:ascii="宋体" w:hAnsi="宋体"/>
                        <w:spacing w:val="-4"/>
                        <w:sz w:val="18"/>
                        <w:szCs w:val="18"/>
                      </w:rPr>
                      <w:t>许可条件：</w:t>
                    </w: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>（一）客运站经有关部门组织的工程竣工验收合格，并且经道路运输管理机构组织的站级验收合格；</w:t>
                    </w:r>
                    <w:r>
                      <w:rPr>
                        <w:rFonts w:ascii="宋体" w:hAnsi="宋体"/>
                        <w:sz w:val="18"/>
                        <w:szCs w:val="18"/>
                      </w:rPr>
                      <w:br/>
                    </w: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>　　（二）有与业务量相适应的专业人员和管理人员；</w:t>
                    </w:r>
                    <w:r>
                      <w:rPr>
                        <w:rFonts w:ascii="宋体" w:hAnsi="宋体"/>
                        <w:sz w:val="18"/>
                        <w:szCs w:val="18"/>
                      </w:rPr>
                      <w:br/>
                    </w: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>　　（三）有相应的设备、设施，具体要求按照行业标准《汽车客运站级别划分及建设要求》（</w:t>
                    </w:r>
                    <w:r>
                      <w:rPr>
                        <w:rFonts w:ascii="宋体" w:hAnsi="宋体"/>
                        <w:sz w:val="18"/>
                        <w:szCs w:val="18"/>
                      </w:rPr>
                      <w:t>JT/T200</w:t>
                    </w: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>）的规定执行；</w:t>
                    </w:r>
                    <w:r>
                      <w:rPr>
                        <w:rFonts w:ascii="宋体" w:hAnsi="宋体"/>
                        <w:sz w:val="18"/>
                        <w:szCs w:val="18"/>
                      </w:rPr>
                      <w:br/>
                    </w: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>　　（四）有健全的业务操作规程和安全管理制度，包括服务规范、安全生产操作规程、车辆发车前例检、安全生产责任制、危险品查堵、安全生产监督检查的制度。</w:t>
                    </w:r>
                    <w:r>
                      <w:rPr>
                        <w:rFonts w:ascii="宋体" w:hAnsi="宋体"/>
                        <w:szCs w:val="21"/>
                      </w:rPr>
                      <w:br/>
                    </w:r>
                    <w:r>
                      <w:rPr>
                        <w:rFonts w:hint="eastAsia" w:ascii="宋体" w:hAnsi="宋体"/>
                        <w:szCs w:val="21"/>
                      </w:rPr>
                      <w:t>　　</w:t>
                    </w:r>
                  </w:p>
                </w:txbxContent>
              </v:textbox>
            </v:roundrect>
            <v:shape id="_x0000_s1042" o:spid="_x0000_s1042" type="#_x0000_t67" style="position:absolute;left:3247;top:4464;height:734;width:142;rotation:0f;" o:ole="f" fillcolor="#FFFFFF" filled="t" o:preferrelative="t" stroked="t" coordorigin="0,0" coordsize="21600,21600" adj="16200,54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shape id="_x0000_s1043" o:spid="_x0000_s1043" type="#_x0000_t176" style="position:absolute;left:2445;top:5198;height:841;width:1814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行政审批办、法制办审核</w:t>
                    </w:r>
                  </w:p>
                </w:txbxContent>
              </v:textbox>
            </v:shape>
            <v:shape id="_x0000_s1044" o:spid="_x0000_s1044" type="#_x0000_t67" style="position:absolute;left:3247;top:6039;height:914;width:142;rotation:0f;" o:ole="f" fillcolor="#FFFFFF" filled="t" o:preferrelative="t" stroked="t" coordorigin="0,0" coordsize="21600,21600" adj="16200,54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roundrect id="_x0000_s1045" o:spid="_x0000_s1045" style="position:absolute;left:2445;top:6953;height:705;width:1920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形成审核意见</w:t>
                    </w:r>
                  </w:p>
                </w:txbxContent>
              </v:textbox>
            </v:roundrect>
            <v:shape id="_x0000_s1046" o:spid="_x0000_s1046" type="#_x0000_t32" style="position:absolute;left:2099;top:7306;flip:x;height:2;width:346;rotation:0f;" o:ole="f" fillcolor="#FFFFFF" filled="f" o:preferrelative="t" stroked="t" coordorigin="0,0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roundrect id="_x0000_s1047" o:spid="_x0000_s1047" style="position:absolute;left:134;top:6840;height:915;width:1965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审核未通过，说明原因，退办</w:t>
                    </w:r>
                  </w:p>
                </w:txbxContent>
              </v:textbox>
            </v:roundrect>
            <v:shape id="_x0000_s1048" o:spid="_x0000_s1048" type="#_x0000_t67" style="position:absolute;left:3247;top:7658;height:871;width:142;rotation:0f;" o:ole="f" fillcolor="#FFFFFF" filled="t" o:preferrelative="t" stroked="t" coordorigin="0,0" coordsize="21600,21600" adj="16200,54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roundrect id="_x0000_s1049" o:spid="_x0000_s1049" style="position:absolute;left:2445;top:8529;height:959;width:1920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政务大厅交通窗口制作审批文书</w:t>
                    </w:r>
                  </w:p>
                </w:txbxContent>
              </v:textbox>
            </v:roundrect>
            <v:shape id="_x0000_s1050" o:spid="_x0000_s1050" type="#_x0000_t67" style="position:absolute;left:3247;top:9488;height:840;width:142;rotation:0f;" o:ole="f" fillcolor="#FFFFFF" filled="t" o:preferrelative="t" stroked="t" coordorigin="0,0" coordsize="21600,21600" adj="16200,54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roundrect id="_x0000_s1051" o:spid="_x0000_s1051" style="position:absolute;left:2535;top:10328;height:570;width:1740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申请人</w:t>
                    </w:r>
                  </w:p>
                </w:txbxContent>
              </v:textbox>
            </v:roundrect>
            <v:shape id="_x0000_s1052" o:spid="_x0000_s1052" type="#_x0000_t202" style="position:absolute;left:5915;top:10751;height:841;width:4037;rotation:0f;" o:ole="f" fillcolor="#FFFFFF" filled="t" o:preferrelative="t" stroked="t" coordorigin="0,0" coordsize="21600,216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ind w:left="1050" w:hanging="1050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承诺时限：自受理之日起</w:t>
                    </w:r>
                    <w:r>
                      <w:rPr>
                        <w:szCs w:val="21"/>
                      </w:rPr>
                      <w:t>15</w:t>
                    </w:r>
                    <w:r>
                      <w:rPr>
                        <w:rFonts w:hint="eastAsia"/>
                        <w:szCs w:val="21"/>
                      </w:rPr>
                      <w:t>日内做出许可或者不予许可的决定</w:t>
                    </w:r>
                  </w:p>
                  <w:p/>
                  <w:p/>
                </w:txbxContent>
              </v:textbox>
            </v:shape>
            <w10:wrap type="none"/>
            <w10:anchorlock/>
          </v:group>
        </w:pict>
      </w:r>
    </w:p>
    <w:p/>
    <w:p>
      <w:pPr>
        <w:rPr>
          <w:szCs w:val="21"/>
        </w:rPr>
      </w:pPr>
      <w:r>
        <w:rPr>
          <w:rFonts w:hint="eastAsia"/>
          <w:szCs w:val="21"/>
        </w:rPr>
        <w:t>地址：公主岭市政务大厅受理责任人：</w:t>
      </w:r>
      <w:r>
        <w:rPr>
          <w:rFonts w:hint="eastAsia"/>
          <w:szCs w:val="21"/>
          <w:lang w:eastAsia="zh-CN"/>
        </w:rPr>
        <w:t>高晓松</w:t>
      </w:r>
      <w:r>
        <w:rPr>
          <w:szCs w:val="21"/>
        </w:rPr>
        <w:t xml:space="preserve">                                 </w:t>
      </w:r>
      <w:r>
        <w:rPr>
          <w:rFonts w:hint="eastAsia"/>
          <w:szCs w:val="21"/>
        </w:rPr>
        <w:t>审批责任人：</w:t>
      </w:r>
      <w:r>
        <w:rPr>
          <w:rFonts w:hint="eastAsia"/>
          <w:szCs w:val="21"/>
          <w:lang w:eastAsia="zh-CN"/>
        </w:rPr>
        <w:t>李延生</w:t>
      </w:r>
    </w:p>
    <w:p>
      <w:pPr>
        <w:rPr>
          <w:szCs w:val="21"/>
        </w:rPr>
      </w:pPr>
      <w:r>
        <w:rPr>
          <w:rFonts w:hint="eastAsia"/>
          <w:szCs w:val="21"/>
        </w:rPr>
        <w:t>咨询电话：</w:t>
      </w:r>
      <w:r>
        <w:rPr>
          <w:szCs w:val="21"/>
        </w:rPr>
        <w:t xml:space="preserve">0434-6294278                                </w:t>
      </w:r>
      <w:r>
        <w:rPr>
          <w:rFonts w:hint="eastAsia"/>
          <w:szCs w:val="21"/>
        </w:rPr>
        <w:t>投诉电话：</w:t>
      </w:r>
      <w:r>
        <w:rPr>
          <w:szCs w:val="21"/>
        </w:rPr>
        <w:t xml:space="preserve">0434-6277639   </w:t>
      </w:r>
    </w:p>
    <w:p>
      <w:pPr>
        <w:rPr>
          <w:sz w:val="24"/>
          <w:szCs w:val="24"/>
        </w:rPr>
      </w:pPr>
    </w:p>
    <w:p>
      <w:pPr>
        <w:rPr>
          <w:u w:val="double"/>
        </w:rPr>
      </w:pPr>
    </w:p>
    <w:sectPr>
      <w:endnotePr>
        <w:numFmt w:val="decimal"/>
      </w:endnotePr>
      <w:pgSz w:w="11906" w:h="16838"/>
      <w:pgMar w:top="720" w:right="720" w:bottom="720" w:left="7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endnotePr>
    <w:numFmt w:val="decimal"/>
  </w:endnotePr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1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paragraph" w:styleId="2">
    <w:name w:val="footer"/>
    <w:basedOn w:val="3"/>
    <w:link w:val="8"/>
    <w:qFormat/>
    <w:uiPriority w:val="99"/>
    <w:pPr>
      <w:tabs>
        <w:tab w:val="center" w:pos="4153"/>
        <w:tab w:val="right" w:pos="8306"/>
      </w:tabs>
      <w:jc w:val="left"/>
    </w:pPr>
    <w:rPr>
      <w:rFonts w:cs="Times New Roman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top w:val="none" w:color="000000" w:sz="0" w:space="3"/>
        <w:left w:val="none" w:color="000000" w:sz="0" w:space="3"/>
        <w:bottom w:val="single" w:color="000000" w:sz="6" w:space="1"/>
        <w:right w:val="none" w:color="000000" w:sz="0" w:space="3"/>
        <w:between w:val="none" w:color="000000" w:sz="0" w:space="0"/>
      </w:pBdr>
      <w:tabs>
        <w:tab w:val="center" w:pos="4153"/>
        <w:tab w:val="right" w:pos="8306"/>
      </w:tabs>
      <w:jc w:val="center"/>
    </w:pPr>
    <w:rPr>
      <w:rFonts w:cs="Times New Roman"/>
      <w:sz w:val="18"/>
      <w:szCs w:val="18"/>
    </w:rPr>
  </w:style>
  <w:style w:type="character" w:customStyle="1" w:styleId="4">
    <w:name w:val="页脚 Char"/>
    <w:basedOn w:val="5"/>
    <w:uiPriority w:val="99"/>
    <w:rPr>
      <w:rFonts w:cs="Times New Roman"/>
      <w:sz w:val="18"/>
      <w:szCs w:val="18"/>
    </w:rPr>
  </w:style>
  <w:style w:type="character" w:customStyle="1" w:styleId="6">
    <w:name w:val="页眉 Char"/>
    <w:basedOn w:val="5"/>
    <w:qFormat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uiPriority w:val="99"/>
    <w:rPr>
      <w:kern w:val="1"/>
      <w:sz w:val="18"/>
      <w:szCs w:val="18"/>
    </w:rPr>
  </w:style>
  <w:style w:type="character" w:customStyle="1" w:styleId="8">
    <w:name w:val="Footer Char"/>
    <w:basedOn w:val="5"/>
    <w:link w:val="2"/>
    <w:uiPriority w:val="99"/>
    <w:rPr>
      <w:kern w:val="1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30</Words>
  <Characters>177</Characters>
  <Lines>0</Lines>
  <Paragraphs>0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2014-11-06T06:47:00Z</dcterms:created>
  <dc:creator>Sky123.Org</dc:creator>
  <cp:lastModifiedBy>Lenovo</cp:lastModifiedBy>
  <cp:lastPrinted>2017-08-18T05:46:00Z</cp:lastPrinted>
  <dcterms:modified xsi:type="dcterms:W3CDTF">2017-09-19T07:15:35Z</dcterms:modified>
  <dc:title>公主岭市交通运输局行政权力运行流程图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