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3AB7" w14:textId="77777777" w:rsidR="00501569" w:rsidRDefault="00501569"/>
    <w:p w14:paraId="5B80802E" w14:textId="77777777" w:rsidR="00501569" w:rsidRDefault="00501569">
      <w:pPr>
        <w:pStyle w:val="2"/>
        <w:ind w:firstLine="420"/>
      </w:pPr>
    </w:p>
    <w:p w14:paraId="6BC24EBB" w14:textId="77777777" w:rsidR="00501569" w:rsidRDefault="00501569"/>
    <w:p w14:paraId="18535CF6" w14:textId="77777777" w:rsidR="00501569" w:rsidRDefault="00501569">
      <w:pPr>
        <w:pStyle w:val="2"/>
        <w:ind w:firstLine="420"/>
      </w:pPr>
    </w:p>
    <w:p w14:paraId="51221B1D" w14:textId="77777777" w:rsidR="0066345F" w:rsidRDefault="00C74794" w:rsidP="0066345F">
      <w:pPr>
        <w:pStyle w:val="New0"/>
        <w:adjustRightInd w:val="0"/>
        <w:snapToGrid w:val="0"/>
        <w:jc w:val="center"/>
        <w:rPr>
          <w:rFonts w:ascii="方正小标宋简体" w:eastAsia="方正小标宋简体" w:hAnsi="方正小标宋简体" w:cs="方正小标宋简体"/>
          <w:bCs/>
          <w:color w:val="000000"/>
          <w:sz w:val="48"/>
          <w:szCs w:val="48"/>
        </w:rPr>
      </w:pPr>
      <w:r>
        <w:rPr>
          <w:rFonts w:ascii="方正小标宋简体" w:eastAsia="方正小标宋简体" w:hAnsi="方正小标宋简体" w:cs="方正小标宋简体" w:hint="eastAsia"/>
          <w:bCs/>
          <w:color w:val="000000"/>
          <w:sz w:val="48"/>
          <w:szCs w:val="48"/>
        </w:rPr>
        <w:t>公主岭市国民经济和社会发展第十四个五年规划和</w:t>
      </w:r>
      <w:r w:rsidR="00762C33">
        <w:rPr>
          <w:rFonts w:ascii="方正小标宋简体" w:eastAsia="方正小标宋简体" w:hAnsi="方正小标宋简体" w:cs="方正小标宋简体" w:hint="eastAsia"/>
          <w:bCs/>
          <w:color w:val="000000"/>
          <w:sz w:val="48"/>
          <w:szCs w:val="48"/>
        </w:rPr>
        <w:t>2</w:t>
      </w:r>
      <w:r w:rsidR="00762C33">
        <w:rPr>
          <w:rFonts w:ascii="方正小标宋简体" w:eastAsia="方正小标宋简体" w:hAnsi="方正小标宋简体" w:cs="方正小标宋简体"/>
          <w:bCs/>
          <w:color w:val="000000"/>
          <w:sz w:val="48"/>
          <w:szCs w:val="48"/>
        </w:rPr>
        <w:t>035</w:t>
      </w:r>
      <w:r>
        <w:rPr>
          <w:rFonts w:ascii="方正小标宋简体" w:eastAsia="方正小标宋简体" w:hAnsi="方正小标宋简体" w:cs="方正小标宋简体" w:hint="eastAsia"/>
          <w:bCs/>
          <w:color w:val="000000"/>
          <w:sz w:val="48"/>
          <w:szCs w:val="48"/>
        </w:rPr>
        <w:t>年远景目标纲要</w:t>
      </w:r>
    </w:p>
    <w:p w14:paraId="247707E5" w14:textId="77777777" w:rsidR="00501569" w:rsidRPr="00903B24" w:rsidRDefault="00501569">
      <w:pPr>
        <w:ind w:firstLineChars="200" w:firstLine="640"/>
        <w:rPr>
          <w:rFonts w:ascii="宋体" w:eastAsia="宋体" w:hAnsi="宋体" w:cs="宋体"/>
          <w:sz w:val="32"/>
          <w:szCs w:val="32"/>
        </w:rPr>
      </w:pPr>
    </w:p>
    <w:p w14:paraId="0576A64D" w14:textId="77777777" w:rsidR="009F1064" w:rsidRPr="009F1064" w:rsidRDefault="009F1064" w:rsidP="009F1064">
      <w:pPr>
        <w:pStyle w:val="2"/>
        <w:ind w:firstLine="420"/>
      </w:pPr>
    </w:p>
    <w:p w14:paraId="33D67DBD" w14:textId="77777777" w:rsidR="00501569" w:rsidRDefault="00501569">
      <w:pPr>
        <w:rPr>
          <w:rFonts w:ascii="宋体" w:eastAsia="宋体" w:hAnsi="宋体" w:cs="宋体"/>
          <w:sz w:val="32"/>
          <w:szCs w:val="32"/>
        </w:rPr>
      </w:pPr>
    </w:p>
    <w:p w14:paraId="46A2841E" w14:textId="77777777" w:rsidR="00501569" w:rsidRDefault="00501569">
      <w:pPr>
        <w:pStyle w:val="2"/>
        <w:ind w:firstLine="420"/>
      </w:pPr>
    </w:p>
    <w:p w14:paraId="63B33F2C" w14:textId="77777777" w:rsidR="00501569" w:rsidRDefault="00501569"/>
    <w:p w14:paraId="6E8B77BD" w14:textId="77777777" w:rsidR="00501569" w:rsidRDefault="00501569">
      <w:pPr>
        <w:pStyle w:val="2"/>
        <w:ind w:firstLine="420"/>
      </w:pPr>
    </w:p>
    <w:p w14:paraId="777D780E" w14:textId="77777777" w:rsidR="00501569" w:rsidRDefault="00501569"/>
    <w:p w14:paraId="2373AE98" w14:textId="77777777" w:rsidR="00501569" w:rsidRDefault="00501569">
      <w:pPr>
        <w:pStyle w:val="2"/>
        <w:ind w:firstLine="420"/>
      </w:pPr>
    </w:p>
    <w:p w14:paraId="27FDBA49" w14:textId="77777777" w:rsidR="00501569" w:rsidRDefault="00501569"/>
    <w:p w14:paraId="4BE05DC8" w14:textId="77777777" w:rsidR="00501569" w:rsidRDefault="00501569">
      <w:pPr>
        <w:pStyle w:val="2"/>
        <w:ind w:firstLine="420"/>
      </w:pPr>
    </w:p>
    <w:p w14:paraId="797AA4A2" w14:textId="77777777" w:rsidR="00501569" w:rsidRDefault="00501569">
      <w:pPr>
        <w:pStyle w:val="2"/>
        <w:ind w:firstLine="640"/>
        <w:rPr>
          <w:rFonts w:ascii="宋体" w:eastAsia="宋体" w:hAnsi="宋体" w:cs="宋体"/>
          <w:sz w:val="32"/>
          <w:szCs w:val="32"/>
        </w:rPr>
      </w:pPr>
    </w:p>
    <w:p w14:paraId="710AD907" w14:textId="77777777" w:rsidR="00501569" w:rsidRDefault="00501569">
      <w:pPr>
        <w:rPr>
          <w:rFonts w:ascii="宋体" w:eastAsia="宋体" w:hAnsi="宋体" w:cs="宋体"/>
          <w:sz w:val="32"/>
          <w:szCs w:val="32"/>
        </w:rPr>
      </w:pPr>
    </w:p>
    <w:p w14:paraId="4834DD40" w14:textId="77777777" w:rsidR="00501569" w:rsidRDefault="00501569">
      <w:pPr>
        <w:pStyle w:val="2"/>
        <w:ind w:firstLine="640"/>
        <w:rPr>
          <w:rFonts w:ascii="宋体" w:eastAsia="宋体" w:hAnsi="宋体" w:cs="宋体"/>
          <w:sz w:val="32"/>
          <w:szCs w:val="32"/>
        </w:rPr>
      </w:pPr>
    </w:p>
    <w:p w14:paraId="2F18B5E5" w14:textId="77777777" w:rsidR="00501569" w:rsidRDefault="00501569"/>
    <w:p w14:paraId="6206DD45" w14:textId="77777777" w:rsidR="00501569" w:rsidRDefault="00501569"/>
    <w:p w14:paraId="3C637A0E" w14:textId="77777777" w:rsidR="00501569" w:rsidRPr="003B6484" w:rsidRDefault="003B6484" w:rsidP="003B6484">
      <w:pPr>
        <w:jc w:val="center"/>
        <w:rPr>
          <w:rFonts w:ascii="楷体" w:eastAsia="楷体" w:hAnsi="楷体" w:cs="楷体_GB2312"/>
          <w:sz w:val="36"/>
          <w:szCs w:val="36"/>
        </w:rPr>
      </w:pPr>
      <w:r w:rsidRPr="003B6484">
        <w:rPr>
          <w:rFonts w:ascii="楷体" w:eastAsia="楷体" w:hAnsi="楷体" w:cs="楷体_GB2312" w:hint="eastAsia"/>
          <w:sz w:val="36"/>
          <w:szCs w:val="36"/>
        </w:rPr>
        <w:t>公主岭市人民政府</w:t>
      </w:r>
    </w:p>
    <w:p w14:paraId="4F4E4AB2" w14:textId="77777777" w:rsidR="003B6484" w:rsidRPr="003B6484" w:rsidRDefault="003B6484" w:rsidP="003B6484">
      <w:pPr>
        <w:pStyle w:val="2"/>
        <w:ind w:firstLineChars="0" w:firstLine="0"/>
        <w:jc w:val="center"/>
        <w:rPr>
          <w:rFonts w:ascii="楷体" w:eastAsia="楷体" w:hAnsi="楷体"/>
        </w:rPr>
      </w:pPr>
      <w:r w:rsidRPr="003B6484">
        <w:rPr>
          <w:rFonts w:ascii="楷体" w:eastAsia="楷体" w:hAnsi="楷体" w:cs="楷体_GB2312" w:hint="eastAsia"/>
          <w:sz w:val="36"/>
          <w:szCs w:val="36"/>
        </w:rPr>
        <w:t>202</w:t>
      </w:r>
      <w:r w:rsidR="009F1064">
        <w:rPr>
          <w:rFonts w:ascii="楷体" w:eastAsia="楷体" w:hAnsi="楷体" w:cs="楷体_GB2312"/>
          <w:sz w:val="36"/>
          <w:szCs w:val="36"/>
        </w:rPr>
        <w:t>1</w:t>
      </w:r>
      <w:r w:rsidRPr="003B6484">
        <w:rPr>
          <w:rFonts w:ascii="楷体" w:eastAsia="楷体" w:hAnsi="楷体" w:cs="楷体_GB2312" w:hint="eastAsia"/>
          <w:sz w:val="36"/>
          <w:szCs w:val="36"/>
        </w:rPr>
        <w:t>年1月</w:t>
      </w:r>
    </w:p>
    <w:p w14:paraId="09945FD1" w14:textId="77777777" w:rsidR="003B6484" w:rsidRPr="003B6484" w:rsidRDefault="003B6484" w:rsidP="003B6484">
      <w:pPr>
        <w:pStyle w:val="2"/>
        <w:ind w:firstLine="420"/>
      </w:pPr>
    </w:p>
    <w:p w14:paraId="1C2C7D8A" w14:textId="77777777" w:rsidR="00501569" w:rsidRDefault="00C74794">
      <w:pPr>
        <w:pStyle w:val="2"/>
        <w:tabs>
          <w:tab w:val="left" w:pos="5746"/>
        </w:tabs>
        <w:ind w:firstLine="420"/>
      </w:pPr>
      <w:r>
        <w:tab/>
      </w:r>
    </w:p>
    <w:p w14:paraId="71D8DBD7" w14:textId="77777777" w:rsidR="00501569" w:rsidRDefault="00501569" w:rsidP="003B6484">
      <w:pPr>
        <w:pStyle w:val="2"/>
        <w:tabs>
          <w:tab w:val="left" w:pos="5746"/>
        </w:tabs>
        <w:ind w:firstLineChars="0" w:firstLine="0"/>
      </w:pPr>
    </w:p>
    <w:p w14:paraId="2776B69A" w14:textId="77777777" w:rsidR="00501569" w:rsidRDefault="00501569"/>
    <w:p w14:paraId="1047F037" w14:textId="77777777" w:rsidR="00501569" w:rsidRDefault="00501569"/>
    <w:p w14:paraId="32D71F49" w14:textId="77777777" w:rsidR="00501569" w:rsidRDefault="00501569"/>
    <w:p w14:paraId="01D7FAEE" w14:textId="77777777" w:rsidR="00501569" w:rsidRDefault="00501569"/>
    <w:p w14:paraId="55C233E8" w14:textId="77777777" w:rsidR="00501569" w:rsidRDefault="00501569"/>
    <w:p w14:paraId="164E3503" w14:textId="77777777" w:rsidR="00501569" w:rsidRDefault="00501569"/>
    <w:p w14:paraId="51546385" w14:textId="77777777" w:rsidR="00501569" w:rsidRDefault="00501569"/>
    <w:p w14:paraId="2D7ABE55" w14:textId="77777777" w:rsidR="00501569" w:rsidRDefault="00501569"/>
    <w:p w14:paraId="58E494A0" w14:textId="77777777" w:rsidR="00501569" w:rsidRDefault="00501569"/>
    <w:p w14:paraId="54269E7B" w14:textId="77777777" w:rsidR="00501569" w:rsidRDefault="00501569"/>
    <w:p w14:paraId="689AC526" w14:textId="77777777" w:rsidR="00501569" w:rsidRDefault="00501569"/>
    <w:p w14:paraId="148A354C" w14:textId="77777777" w:rsidR="00501569" w:rsidRDefault="00501569"/>
    <w:p w14:paraId="152B6D11" w14:textId="77777777" w:rsidR="00501569" w:rsidRDefault="00501569"/>
    <w:p w14:paraId="3E03F174" w14:textId="77777777" w:rsidR="00501569" w:rsidRDefault="00501569"/>
    <w:p w14:paraId="3852C589" w14:textId="77777777" w:rsidR="00501569" w:rsidRDefault="00501569"/>
    <w:p w14:paraId="5A70DCCE" w14:textId="77777777" w:rsidR="00501569" w:rsidRDefault="00501569"/>
    <w:p w14:paraId="36D3A1FA" w14:textId="77777777" w:rsidR="00501569" w:rsidRDefault="00501569"/>
    <w:p w14:paraId="6FF9D72C" w14:textId="77777777" w:rsidR="00501569" w:rsidRDefault="00501569"/>
    <w:p w14:paraId="5EC0ADA4" w14:textId="77777777" w:rsidR="00501569" w:rsidRDefault="00501569"/>
    <w:p w14:paraId="20D253C2" w14:textId="77777777" w:rsidR="00501569" w:rsidRDefault="00501569"/>
    <w:p w14:paraId="3FE3F186" w14:textId="77777777" w:rsidR="00501569" w:rsidRDefault="00C74794">
      <w:pPr>
        <w:tabs>
          <w:tab w:val="left" w:pos="2344"/>
        </w:tabs>
        <w:jc w:val="left"/>
        <w:sectPr w:rsidR="00501569">
          <w:pgSz w:w="11906" w:h="16838"/>
          <w:pgMar w:top="1440" w:right="1800" w:bottom="1440" w:left="1800" w:header="851" w:footer="992" w:gutter="0"/>
          <w:pgNumType w:fmt="upperRoman"/>
          <w:cols w:space="720"/>
          <w:docGrid w:type="lines" w:linePitch="312"/>
        </w:sectPr>
      </w:pPr>
      <w:r>
        <w:rPr>
          <w:rFonts w:hint="eastAsia"/>
        </w:rPr>
        <w:tab/>
      </w:r>
    </w:p>
    <w:sdt>
      <w:sdtPr>
        <w:rPr>
          <w:rFonts w:ascii="方正小标宋简体" w:eastAsia="方正小标宋简体" w:hAnsi="方正小标宋简体" w:cs="方正小标宋简体" w:hint="eastAsia"/>
          <w:sz w:val="44"/>
          <w:szCs w:val="44"/>
        </w:rPr>
        <w:id w:val="147476034"/>
        <w:docPartObj>
          <w:docPartGallery w:val="Table of Contents"/>
          <w:docPartUnique/>
        </w:docPartObj>
      </w:sdtPr>
      <w:sdtEndPr>
        <w:rPr>
          <w:rFonts w:ascii="Calibri" w:eastAsia="仿宋_GB2312" w:hAnsi="Calibri" w:cs="Times New Roman"/>
          <w:b/>
          <w:sz w:val="28"/>
          <w:szCs w:val="28"/>
        </w:rPr>
      </w:sdtEndPr>
      <w:sdtContent>
        <w:p w14:paraId="26B5766D" w14:textId="77777777" w:rsidR="00501569" w:rsidRDefault="00060821">
          <w:pPr>
            <w:jc w:val="center"/>
          </w:pPr>
          <w:r>
            <w:rPr>
              <w:rFonts w:ascii="方正小标宋简体" w:eastAsia="方正小标宋简体" w:hAnsi="方正小标宋简体" w:cs="方正小标宋简体"/>
              <w:sz w:val="44"/>
              <w:szCs w:val="44"/>
            </w:rPr>
            <w:t xml:space="preserve"> </w:t>
          </w:r>
          <w:r w:rsidR="00C74794">
            <w:rPr>
              <w:rFonts w:ascii="黑体" w:eastAsia="黑体" w:hAnsi="黑体" w:cs="黑体" w:hint="eastAsia"/>
              <w:sz w:val="32"/>
              <w:szCs w:val="36"/>
            </w:rPr>
            <w:t>目 录</w:t>
          </w:r>
        </w:p>
        <w:p w14:paraId="1A8CF7C9" w14:textId="77777777" w:rsidR="00501569" w:rsidRDefault="0045498C">
          <w:pPr>
            <w:pStyle w:val="TOC1"/>
            <w:tabs>
              <w:tab w:val="right" w:leader="dot" w:pos="8306"/>
            </w:tabs>
            <w:rPr>
              <w:noProof/>
            </w:rPr>
          </w:pPr>
          <w:r>
            <w:rPr>
              <w:rFonts w:ascii="楷体_GB2312" w:eastAsia="楷体_GB2312" w:hint="eastAsia"/>
              <w:sz w:val="28"/>
              <w:szCs w:val="28"/>
            </w:rPr>
            <w:fldChar w:fldCharType="begin"/>
          </w:r>
          <w:r w:rsidR="00C74794">
            <w:rPr>
              <w:rFonts w:ascii="楷体_GB2312" w:eastAsia="楷体_GB2312" w:hint="eastAsia"/>
              <w:sz w:val="28"/>
              <w:szCs w:val="28"/>
            </w:rPr>
            <w:instrText xml:space="preserve">TOC \o "1-2" \h \u </w:instrText>
          </w:r>
          <w:r>
            <w:rPr>
              <w:rFonts w:ascii="楷体_GB2312" w:eastAsia="楷体_GB2312" w:hint="eastAsia"/>
              <w:sz w:val="28"/>
              <w:szCs w:val="28"/>
            </w:rPr>
            <w:fldChar w:fldCharType="separate"/>
          </w:r>
          <w:hyperlink w:anchor="_Toc14218" w:history="1">
            <w:r w:rsidR="00C74794">
              <w:rPr>
                <w:rFonts w:ascii="黑体" w:eastAsia="黑体" w:hAnsi="黑体" w:hint="eastAsia"/>
                <w:noProof/>
                <w:szCs w:val="32"/>
              </w:rPr>
              <w:t xml:space="preserve">第一章 </w:t>
            </w:r>
            <w:r w:rsidR="00C74794">
              <w:rPr>
                <w:rFonts w:ascii="黑体" w:eastAsia="黑体" w:hAnsi="黑体" w:hint="eastAsia"/>
                <w:noProof/>
                <w:w w:val="96"/>
                <w:szCs w:val="32"/>
              </w:rPr>
              <w:t>全面建成小康社会，开启全面振兴全方位振兴和全面建设社会主义现代化新征程</w:t>
            </w:r>
            <w:r w:rsidR="00C74794">
              <w:rPr>
                <w:noProof/>
              </w:rPr>
              <w:tab/>
            </w:r>
            <w:r>
              <w:rPr>
                <w:noProof/>
              </w:rPr>
              <w:fldChar w:fldCharType="begin"/>
            </w:r>
            <w:r w:rsidR="00C74794">
              <w:rPr>
                <w:noProof/>
              </w:rPr>
              <w:instrText xml:space="preserve"> PAGEREF _Toc14218 </w:instrText>
            </w:r>
            <w:r>
              <w:rPr>
                <w:noProof/>
              </w:rPr>
              <w:fldChar w:fldCharType="separate"/>
            </w:r>
            <w:r w:rsidR="000278DC">
              <w:rPr>
                <w:noProof/>
              </w:rPr>
              <w:t>1</w:t>
            </w:r>
            <w:r>
              <w:rPr>
                <w:noProof/>
              </w:rPr>
              <w:fldChar w:fldCharType="end"/>
            </w:r>
          </w:hyperlink>
        </w:p>
        <w:p w14:paraId="2D0A98BC" w14:textId="77777777" w:rsidR="00501569" w:rsidRDefault="00000000">
          <w:pPr>
            <w:pStyle w:val="TOC2"/>
            <w:tabs>
              <w:tab w:val="right" w:leader="dot" w:pos="8306"/>
            </w:tabs>
            <w:rPr>
              <w:noProof/>
            </w:rPr>
          </w:pPr>
          <w:hyperlink w:anchor="_Toc429" w:history="1">
            <w:r w:rsidR="00C74794">
              <w:rPr>
                <w:rFonts w:ascii="楷体_GB2312" w:eastAsia="楷体_GB2312" w:hint="eastAsia"/>
                <w:noProof/>
                <w:szCs w:val="32"/>
              </w:rPr>
              <w:t>第一节 发展基础</w:t>
            </w:r>
            <w:r w:rsidR="00C74794">
              <w:rPr>
                <w:noProof/>
              </w:rPr>
              <w:tab/>
            </w:r>
            <w:r w:rsidR="0045498C">
              <w:rPr>
                <w:noProof/>
              </w:rPr>
              <w:fldChar w:fldCharType="begin"/>
            </w:r>
            <w:r w:rsidR="00C74794">
              <w:rPr>
                <w:noProof/>
              </w:rPr>
              <w:instrText xml:space="preserve"> PAGEREF _Toc429 </w:instrText>
            </w:r>
            <w:r w:rsidR="0045498C">
              <w:rPr>
                <w:noProof/>
              </w:rPr>
              <w:fldChar w:fldCharType="separate"/>
            </w:r>
            <w:r w:rsidR="000278DC">
              <w:rPr>
                <w:noProof/>
              </w:rPr>
              <w:t>1</w:t>
            </w:r>
            <w:r w:rsidR="0045498C">
              <w:rPr>
                <w:noProof/>
              </w:rPr>
              <w:fldChar w:fldCharType="end"/>
            </w:r>
          </w:hyperlink>
        </w:p>
        <w:p w14:paraId="0A923F6A" w14:textId="77777777" w:rsidR="00501569" w:rsidRDefault="00000000">
          <w:pPr>
            <w:pStyle w:val="TOC2"/>
            <w:tabs>
              <w:tab w:val="right" w:leader="dot" w:pos="8306"/>
            </w:tabs>
            <w:rPr>
              <w:noProof/>
            </w:rPr>
          </w:pPr>
          <w:hyperlink w:anchor="_Toc26657" w:history="1">
            <w:r w:rsidR="00C74794">
              <w:rPr>
                <w:rFonts w:ascii="楷体_GB2312" w:eastAsia="楷体_GB2312" w:hint="eastAsia"/>
                <w:bCs/>
                <w:noProof/>
                <w:szCs w:val="32"/>
              </w:rPr>
              <w:t>第二节 发展环境</w:t>
            </w:r>
            <w:r w:rsidR="00C74794">
              <w:rPr>
                <w:noProof/>
              </w:rPr>
              <w:tab/>
            </w:r>
            <w:r w:rsidR="0045498C">
              <w:rPr>
                <w:noProof/>
              </w:rPr>
              <w:fldChar w:fldCharType="begin"/>
            </w:r>
            <w:r w:rsidR="00C74794">
              <w:rPr>
                <w:noProof/>
              </w:rPr>
              <w:instrText xml:space="preserve"> PAGEREF _Toc26657 </w:instrText>
            </w:r>
            <w:r w:rsidR="0045498C">
              <w:rPr>
                <w:noProof/>
              </w:rPr>
              <w:fldChar w:fldCharType="separate"/>
            </w:r>
            <w:r w:rsidR="000278DC">
              <w:rPr>
                <w:noProof/>
              </w:rPr>
              <w:t>5</w:t>
            </w:r>
            <w:r w:rsidR="0045498C">
              <w:rPr>
                <w:noProof/>
              </w:rPr>
              <w:fldChar w:fldCharType="end"/>
            </w:r>
          </w:hyperlink>
        </w:p>
        <w:p w14:paraId="27977431" w14:textId="77777777" w:rsidR="00501569" w:rsidRDefault="00000000">
          <w:pPr>
            <w:pStyle w:val="TOC2"/>
            <w:tabs>
              <w:tab w:val="right" w:leader="dot" w:pos="8306"/>
            </w:tabs>
            <w:rPr>
              <w:noProof/>
            </w:rPr>
          </w:pPr>
          <w:hyperlink w:anchor="_Toc13403" w:history="1">
            <w:r w:rsidR="00C74794">
              <w:rPr>
                <w:rFonts w:ascii="楷体_GB2312" w:eastAsia="楷体_GB2312" w:hint="eastAsia"/>
                <w:bCs/>
                <w:noProof/>
                <w:szCs w:val="32"/>
              </w:rPr>
              <w:t>第三节 面临形势</w:t>
            </w:r>
            <w:r w:rsidR="00C74794">
              <w:rPr>
                <w:noProof/>
              </w:rPr>
              <w:tab/>
            </w:r>
            <w:r w:rsidR="0045498C">
              <w:rPr>
                <w:noProof/>
              </w:rPr>
              <w:fldChar w:fldCharType="begin"/>
            </w:r>
            <w:r w:rsidR="00C74794">
              <w:rPr>
                <w:noProof/>
              </w:rPr>
              <w:instrText xml:space="preserve"> PAGEREF _Toc13403 </w:instrText>
            </w:r>
            <w:r w:rsidR="0045498C">
              <w:rPr>
                <w:noProof/>
              </w:rPr>
              <w:fldChar w:fldCharType="separate"/>
            </w:r>
            <w:r w:rsidR="000278DC">
              <w:rPr>
                <w:noProof/>
              </w:rPr>
              <w:t>7</w:t>
            </w:r>
            <w:r w:rsidR="0045498C">
              <w:rPr>
                <w:noProof/>
              </w:rPr>
              <w:fldChar w:fldCharType="end"/>
            </w:r>
          </w:hyperlink>
        </w:p>
        <w:p w14:paraId="7851357E" w14:textId="77777777" w:rsidR="00501569" w:rsidRDefault="00000000">
          <w:pPr>
            <w:pStyle w:val="TOC2"/>
            <w:tabs>
              <w:tab w:val="right" w:leader="dot" w:pos="8306"/>
            </w:tabs>
            <w:rPr>
              <w:noProof/>
            </w:rPr>
          </w:pPr>
          <w:hyperlink w:anchor="_Toc9818" w:history="1">
            <w:r w:rsidR="00C74794">
              <w:rPr>
                <w:rFonts w:ascii="楷体_GB2312" w:eastAsia="楷体_GB2312" w:hint="eastAsia"/>
                <w:bCs/>
                <w:noProof/>
                <w:szCs w:val="32"/>
              </w:rPr>
              <w:t>第四节 指导思想</w:t>
            </w:r>
            <w:r w:rsidR="00C74794">
              <w:rPr>
                <w:noProof/>
              </w:rPr>
              <w:tab/>
            </w:r>
            <w:r w:rsidR="0045498C">
              <w:rPr>
                <w:noProof/>
              </w:rPr>
              <w:fldChar w:fldCharType="begin"/>
            </w:r>
            <w:r w:rsidR="00C74794">
              <w:rPr>
                <w:noProof/>
              </w:rPr>
              <w:instrText xml:space="preserve"> PAGEREF _Toc9818 </w:instrText>
            </w:r>
            <w:r w:rsidR="0045498C">
              <w:rPr>
                <w:noProof/>
              </w:rPr>
              <w:fldChar w:fldCharType="separate"/>
            </w:r>
            <w:r w:rsidR="000278DC">
              <w:rPr>
                <w:noProof/>
              </w:rPr>
              <w:t>10</w:t>
            </w:r>
            <w:r w:rsidR="0045498C">
              <w:rPr>
                <w:noProof/>
              </w:rPr>
              <w:fldChar w:fldCharType="end"/>
            </w:r>
          </w:hyperlink>
        </w:p>
        <w:p w14:paraId="5E7E1DBB" w14:textId="77777777" w:rsidR="00501569" w:rsidRDefault="00000000">
          <w:pPr>
            <w:pStyle w:val="TOC2"/>
            <w:tabs>
              <w:tab w:val="right" w:leader="dot" w:pos="8306"/>
            </w:tabs>
            <w:rPr>
              <w:noProof/>
            </w:rPr>
          </w:pPr>
          <w:hyperlink w:anchor="_Toc3079" w:history="1">
            <w:r w:rsidR="00C74794">
              <w:rPr>
                <w:rFonts w:ascii="楷体_GB2312" w:eastAsia="楷体_GB2312" w:hAnsi="楷体_GB2312" w:cs="楷体_GB2312" w:hint="eastAsia"/>
                <w:bCs/>
                <w:noProof/>
                <w:szCs w:val="32"/>
              </w:rPr>
              <w:t>第五节 发展战略</w:t>
            </w:r>
            <w:r w:rsidR="00C74794">
              <w:rPr>
                <w:noProof/>
              </w:rPr>
              <w:tab/>
            </w:r>
            <w:r w:rsidR="0045498C">
              <w:rPr>
                <w:noProof/>
              </w:rPr>
              <w:fldChar w:fldCharType="begin"/>
            </w:r>
            <w:r w:rsidR="00C74794">
              <w:rPr>
                <w:noProof/>
              </w:rPr>
              <w:instrText xml:space="preserve"> PAGEREF _Toc3079 </w:instrText>
            </w:r>
            <w:r w:rsidR="0045498C">
              <w:rPr>
                <w:noProof/>
              </w:rPr>
              <w:fldChar w:fldCharType="separate"/>
            </w:r>
            <w:r w:rsidR="000278DC">
              <w:rPr>
                <w:noProof/>
              </w:rPr>
              <w:t>12</w:t>
            </w:r>
            <w:r w:rsidR="0045498C">
              <w:rPr>
                <w:noProof/>
              </w:rPr>
              <w:fldChar w:fldCharType="end"/>
            </w:r>
          </w:hyperlink>
        </w:p>
        <w:p w14:paraId="27476B9F" w14:textId="77777777" w:rsidR="00501569" w:rsidRDefault="00000000">
          <w:pPr>
            <w:pStyle w:val="TOC2"/>
            <w:tabs>
              <w:tab w:val="right" w:leader="dot" w:pos="8306"/>
            </w:tabs>
            <w:rPr>
              <w:noProof/>
            </w:rPr>
          </w:pPr>
          <w:hyperlink w:anchor="_Toc10479" w:history="1">
            <w:r w:rsidR="00C74794">
              <w:rPr>
                <w:rFonts w:ascii="楷体_GB2312" w:eastAsia="楷体_GB2312" w:hAnsi="楷体_GB2312" w:cs="楷体_GB2312" w:hint="eastAsia"/>
                <w:bCs/>
                <w:noProof/>
                <w:szCs w:val="32"/>
              </w:rPr>
              <w:t>第六节 发展目标</w:t>
            </w:r>
            <w:r w:rsidR="00C74794">
              <w:rPr>
                <w:noProof/>
              </w:rPr>
              <w:tab/>
            </w:r>
            <w:r w:rsidR="0045498C">
              <w:rPr>
                <w:noProof/>
              </w:rPr>
              <w:fldChar w:fldCharType="begin"/>
            </w:r>
            <w:r w:rsidR="00C74794">
              <w:rPr>
                <w:noProof/>
              </w:rPr>
              <w:instrText xml:space="preserve"> PAGEREF _Toc10479 </w:instrText>
            </w:r>
            <w:r w:rsidR="0045498C">
              <w:rPr>
                <w:noProof/>
              </w:rPr>
              <w:fldChar w:fldCharType="separate"/>
            </w:r>
            <w:r w:rsidR="000278DC">
              <w:rPr>
                <w:noProof/>
              </w:rPr>
              <w:t>14</w:t>
            </w:r>
            <w:r w:rsidR="0045498C">
              <w:rPr>
                <w:noProof/>
              </w:rPr>
              <w:fldChar w:fldCharType="end"/>
            </w:r>
          </w:hyperlink>
        </w:p>
        <w:p w14:paraId="79F880AF" w14:textId="77777777" w:rsidR="00501569" w:rsidRDefault="00000000">
          <w:pPr>
            <w:pStyle w:val="TOC1"/>
            <w:tabs>
              <w:tab w:val="right" w:leader="dot" w:pos="8306"/>
            </w:tabs>
            <w:rPr>
              <w:noProof/>
            </w:rPr>
          </w:pPr>
          <w:hyperlink w:anchor="_Toc9631" w:history="1">
            <w:r w:rsidR="00C74794">
              <w:rPr>
                <w:rFonts w:ascii="黑体" w:eastAsia="黑体" w:hAnsi="黑体" w:hint="eastAsia"/>
                <w:noProof/>
                <w:szCs w:val="32"/>
              </w:rPr>
              <w:t xml:space="preserve">第二章 </w:t>
            </w:r>
            <w:r w:rsidR="00C74794" w:rsidRPr="00B405FE">
              <w:rPr>
                <w:rFonts w:ascii="黑体" w:eastAsia="黑体" w:hAnsi="黑体" w:hint="eastAsia"/>
                <w:noProof/>
                <w:szCs w:val="32"/>
              </w:rPr>
              <w:t>优化区域布局，全面建设长春现代化都市圈</w:t>
            </w:r>
            <w:r w:rsidR="00C74794" w:rsidRPr="00B405FE">
              <w:rPr>
                <w:rFonts w:ascii="黑体" w:eastAsia="黑体" w:hAnsi="黑体" w:cs="黑体" w:hint="eastAsia"/>
                <w:noProof/>
                <w:szCs w:val="32"/>
              </w:rPr>
              <w:t>新型中等城市</w:t>
            </w:r>
            <w:r w:rsidR="00C74794">
              <w:rPr>
                <w:noProof/>
              </w:rPr>
              <w:tab/>
            </w:r>
            <w:r w:rsidR="0045498C">
              <w:rPr>
                <w:noProof/>
              </w:rPr>
              <w:fldChar w:fldCharType="begin"/>
            </w:r>
            <w:r w:rsidR="00C74794">
              <w:rPr>
                <w:noProof/>
              </w:rPr>
              <w:instrText xml:space="preserve"> PAGEREF _Toc9631 </w:instrText>
            </w:r>
            <w:r w:rsidR="0045498C">
              <w:rPr>
                <w:noProof/>
              </w:rPr>
              <w:fldChar w:fldCharType="separate"/>
            </w:r>
            <w:r w:rsidR="000278DC">
              <w:rPr>
                <w:noProof/>
              </w:rPr>
              <w:t>18</w:t>
            </w:r>
            <w:r w:rsidR="0045498C">
              <w:rPr>
                <w:noProof/>
              </w:rPr>
              <w:fldChar w:fldCharType="end"/>
            </w:r>
          </w:hyperlink>
        </w:p>
        <w:p w14:paraId="4D6DB62E" w14:textId="77777777" w:rsidR="00501569" w:rsidRDefault="00000000">
          <w:pPr>
            <w:pStyle w:val="TOC2"/>
            <w:tabs>
              <w:tab w:val="right" w:leader="dot" w:pos="8306"/>
            </w:tabs>
            <w:rPr>
              <w:noProof/>
            </w:rPr>
          </w:pPr>
          <w:hyperlink w:anchor="_Toc15816" w:history="1">
            <w:r w:rsidR="00C74794">
              <w:rPr>
                <w:rFonts w:ascii="楷体_GB2312" w:eastAsia="楷体_GB2312" w:hAnsi="楷体_GB2312" w:cs="楷体_GB2312" w:hint="eastAsia"/>
                <w:bCs/>
                <w:noProof/>
                <w:szCs w:val="32"/>
              </w:rPr>
              <w:t>第一节 提升中心城区能级</w:t>
            </w:r>
            <w:r w:rsidR="00C74794">
              <w:rPr>
                <w:noProof/>
              </w:rPr>
              <w:tab/>
            </w:r>
            <w:r w:rsidR="0045498C">
              <w:rPr>
                <w:noProof/>
              </w:rPr>
              <w:fldChar w:fldCharType="begin"/>
            </w:r>
            <w:r w:rsidR="00C74794">
              <w:rPr>
                <w:noProof/>
              </w:rPr>
              <w:instrText xml:space="preserve"> PAGEREF _Toc15816 </w:instrText>
            </w:r>
            <w:r w:rsidR="0045498C">
              <w:rPr>
                <w:noProof/>
              </w:rPr>
              <w:fldChar w:fldCharType="separate"/>
            </w:r>
            <w:r w:rsidR="000278DC">
              <w:rPr>
                <w:noProof/>
              </w:rPr>
              <w:t>18</w:t>
            </w:r>
            <w:r w:rsidR="0045498C">
              <w:rPr>
                <w:noProof/>
              </w:rPr>
              <w:fldChar w:fldCharType="end"/>
            </w:r>
          </w:hyperlink>
        </w:p>
        <w:p w14:paraId="04F2DF40" w14:textId="77777777" w:rsidR="00501569" w:rsidRDefault="00000000">
          <w:pPr>
            <w:pStyle w:val="TOC2"/>
            <w:tabs>
              <w:tab w:val="right" w:leader="dot" w:pos="8306"/>
            </w:tabs>
            <w:rPr>
              <w:rFonts w:ascii="华文仿宋" w:eastAsia="华文仿宋" w:hAnsi="华文仿宋" w:cs="华文仿宋"/>
              <w:noProof/>
            </w:rPr>
          </w:pPr>
          <w:hyperlink w:anchor="_Toc29009" w:history="1">
            <w:r w:rsidR="00C74794">
              <w:rPr>
                <w:rFonts w:ascii="楷体_GB2312" w:eastAsia="楷体_GB2312" w:hAnsi="楷体_GB2312" w:cs="楷体_GB2312" w:hint="eastAsia"/>
                <w:noProof/>
              </w:rPr>
              <w:t>第二节 建设国家级农高区</w:t>
            </w:r>
            <w:r w:rsidR="00C74794">
              <w:rPr>
                <w:rFonts w:ascii="华文仿宋" w:eastAsia="华文仿宋" w:hAnsi="华文仿宋" w:cs="华文仿宋" w:hint="eastAsia"/>
                <w:noProof/>
              </w:rPr>
              <w:tab/>
            </w:r>
            <w:r w:rsidR="0045498C">
              <w:rPr>
                <w:rFonts w:eastAsia="华文仿宋" w:hAnsi="华文仿宋" w:cs="华文仿宋" w:hint="eastAsia"/>
                <w:noProof/>
              </w:rPr>
              <w:fldChar w:fldCharType="begin"/>
            </w:r>
            <w:r w:rsidR="00C74794">
              <w:rPr>
                <w:rFonts w:eastAsia="华文仿宋" w:hAnsi="华文仿宋" w:cs="华文仿宋" w:hint="eastAsia"/>
                <w:noProof/>
              </w:rPr>
              <w:instrText xml:space="preserve"> PAGEREF _Toc29009 </w:instrText>
            </w:r>
            <w:r w:rsidR="0045498C">
              <w:rPr>
                <w:rFonts w:eastAsia="华文仿宋" w:hAnsi="华文仿宋" w:cs="华文仿宋" w:hint="eastAsia"/>
                <w:noProof/>
              </w:rPr>
              <w:fldChar w:fldCharType="separate"/>
            </w:r>
            <w:r w:rsidR="000278DC">
              <w:rPr>
                <w:rFonts w:eastAsia="华文仿宋" w:hAnsi="华文仿宋" w:cs="华文仿宋"/>
                <w:noProof/>
              </w:rPr>
              <w:t>21</w:t>
            </w:r>
            <w:r w:rsidR="0045498C">
              <w:rPr>
                <w:rFonts w:eastAsia="华文仿宋" w:hAnsi="华文仿宋" w:cs="华文仿宋" w:hint="eastAsia"/>
                <w:noProof/>
              </w:rPr>
              <w:fldChar w:fldCharType="end"/>
            </w:r>
          </w:hyperlink>
        </w:p>
        <w:p w14:paraId="746B5A3C" w14:textId="77777777" w:rsidR="00501569" w:rsidRDefault="00000000">
          <w:pPr>
            <w:pStyle w:val="TOC2"/>
            <w:tabs>
              <w:tab w:val="right" w:leader="dot" w:pos="8306"/>
            </w:tabs>
            <w:rPr>
              <w:noProof/>
            </w:rPr>
          </w:pPr>
          <w:hyperlink w:anchor="_Toc11934" w:history="1">
            <w:r w:rsidR="00C74794">
              <w:rPr>
                <w:rFonts w:ascii="楷体_GB2312" w:eastAsia="楷体_GB2312" w:hAnsi="楷体_GB2312" w:cs="楷体_GB2312" w:hint="eastAsia"/>
                <w:noProof/>
              </w:rPr>
              <w:t>第三节 协同创建两大板块</w:t>
            </w:r>
            <w:r w:rsidR="00C74794">
              <w:rPr>
                <w:rFonts w:ascii="华文仿宋" w:eastAsia="华文仿宋" w:hAnsi="华文仿宋" w:cs="华文仿宋" w:hint="eastAsia"/>
                <w:noProof/>
              </w:rPr>
              <w:tab/>
            </w:r>
            <w:r w:rsidR="0045498C">
              <w:rPr>
                <w:rFonts w:ascii="等线" w:eastAsia="等线" w:hAnsi="等线" w:cs="等线" w:hint="eastAsia"/>
                <w:noProof/>
              </w:rPr>
              <w:fldChar w:fldCharType="begin"/>
            </w:r>
            <w:r w:rsidR="00C74794">
              <w:rPr>
                <w:rFonts w:ascii="等线" w:eastAsia="等线" w:hAnsi="等线" w:cs="等线" w:hint="eastAsia"/>
                <w:noProof/>
              </w:rPr>
              <w:instrText xml:space="preserve"> PAGEREF _Toc11934 </w:instrText>
            </w:r>
            <w:r w:rsidR="0045498C">
              <w:rPr>
                <w:rFonts w:ascii="等线" w:eastAsia="等线" w:hAnsi="等线" w:cs="等线" w:hint="eastAsia"/>
                <w:noProof/>
              </w:rPr>
              <w:fldChar w:fldCharType="separate"/>
            </w:r>
            <w:r w:rsidR="000278DC">
              <w:rPr>
                <w:rFonts w:ascii="等线" w:eastAsia="等线" w:hAnsi="等线" w:cs="等线"/>
                <w:noProof/>
              </w:rPr>
              <w:t>23</w:t>
            </w:r>
            <w:r w:rsidR="0045498C">
              <w:rPr>
                <w:rFonts w:ascii="等线" w:eastAsia="等线" w:hAnsi="等线" w:cs="等线" w:hint="eastAsia"/>
                <w:noProof/>
              </w:rPr>
              <w:fldChar w:fldCharType="end"/>
            </w:r>
          </w:hyperlink>
        </w:p>
        <w:p w14:paraId="5571B4A5" w14:textId="77777777" w:rsidR="00501569" w:rsidRDefault="00000000">
          <w:pPr>
            <w:pStyle w:val="TOC2"/>
            <w:tabs>
              <w:tab w:val="right" w:leader="dot" w:pos="8306"/>
            </w:tabs>
            <w:rPr>
              <w:noProof/>
            </w:rPr>
          </w:pPr>
          <w:hyperlink w:anchor="_Toc19243" w:history="1">
            <w:r w:rsidR="00C74794">
              <w:rPr>
                <w:rFonts w:ascii="楷体_GB2312" w:eastAsia="楷体_GB2312" w:hAnsi="楷体_GB2312" w:cs="楷体_GB2312" w:hint="eastAsia"/>
                <w:noProof/>
                <w:szCs w:val="32"/>
              </w:rPr>
              <w:t>第四节 打造两大发展带</w:t>
            </w:r>
            <w:r w:rsidR="00C74794">
              <w:rPr>
                <w:noProof/>
              </w:rPr>
              <w:tab/>
            </w:r>
            <w:r w:rsidR="0045498C">
              <w:rPr>
                <w:noProof/>
              </w:rPr>
              <w:fldChar w:fldCharType="begin"/>
            </w:r>
            <w:r w:rsidR="00C74794">
              <w:rPr>
                <w:noProof/>
              </w:rPr>
              <w:instrText xml:space="preserve"> PAGEREF _Toc19243 </w:instrText>
            </w:r>
            <w:r w:rsidR="0045498C">
              <w:rPr>
                <w:noProof/>
              </w:rPr>
              <w:fldChar w:fldCharType="separate"/>
            </w:r>
            <w:r w:rsidR="000278DC">
              <w:rPr>
                <w:noProof/>
              </w:rPr>
              <w:t>26</w:t>
            </w:r>
            <w:r w:rsidR="0045498C">
              <w:rPr>
                <w:noProof/>
              </w:rPr>
              <w:fldChar w:fldCharType="end"/>
            </w:r>
          </w:hyperlink>
        </w:p>
        <w:p w14:paraId="062BF9BB" w14:textId="77777777" w:rsidR="00501569" w:rsidRDefault="00000000">
          <w:pPr>
            <w:pStyle w:val="TOC1"/>
            <w:tabs>
              <w:tab w:val="right" w:leader="dot" w:pos="8306"/>
            </w:tabs>
            <w:rPr>
              <w:noProof/>
            </w:rPr>
          </w:pPr>
          <w:hyperlink w:anchor="_Toc9111" w:history="1">
            <w:r w:rsidR="00C74794">
              <w:rPr>
                <w:rFonts w:ascii="黑体" w:eastAsia="黑体" w:hAnsi="黑体" w:cs="黑体" w:hint="eastAsia"/>
                <w:noProof/>
                <w:szCs w:val="32"/>
              </w:rPr>
              <w:t>第三章 高质量发展“六大产业”，构建产业发展新格局</w:t>
            </w:r>
            <w:r w:rsidR="00C74794">
              <w:rPr>
                <w:noProof/>
              </w:rPr>
              <w:tab/>
            </w:r>
            <w:r w:rsidR="0045498C">
              <w:rPr>
                <w:noProof/>
              </w:rPr>
              <w:fldChar w:fldCharType="begin"/>
            </w:r>
            <w:r w:rsidR="00C74794">
              <w:rPr>
                <w:noProof/>
              </w:rPr>
              <w:instrText xml:space="preserve"> PAGEREF _Toc9111 </w:instrText>
            </w:r>
            <w:r w:rsidR="0045498C">
              <w:rPr>
                <w:noProof/>
              </w:rPr>
              <w:fldChar w:fldCharType="separate"/>
            </w:r>
            <w:r w:rsidR="000278DC">
              <w:rPr>
                <w:noProof/>
              </w:rPr>
              <w:t>27</w:t>
            </w:r>
            <w:r w:rsidR="0045498C">
              <w:rPr>
                <w:noProof/>
              </w:rPr>
              <w:fldChar w:fldCharType="end"/>
            </w:r>
          </w:hyperlink>
        </w:p>
        <w:p w14:paraId="601841F7" w14:textId="77777777" w:rsidR="00501569" w:rsidRDefault="00000000">
          <w:pPr>
            <w:pStyle w:val="TOC2"/>
            <w:tabs>
              <w:tab w:val="right" w:leader="dot" w:pos="8306"/>
            </w:tabs>
            <w:rPr>
              <w:noProof/>
            </w:rPr>
          </w:pPr>
          <w:hyperlink w:anchor="_Toc19912" w:history="1">
            <w:r w:rsidR="00C74794">
              <w:rPr>
                <w:rFonts w:ascii="楷体_GB2312" w:eastAsia="楷体_GB2312" w:hAnsi="楷体_GB2312" w:cs="楷体_GB2312" w:hint="eastAsia"/>
                <w:noProof/>
                <w:szCs w:val="32"/>
                <w:lang w:val="zh-TW"/>
              </w:rPr>
              <w:t>第一节</w:t>
            </w:r>
            <w:r w:rsidR="00C74794">
              <w:rPr>
                <w:rFonts w:ascii="楷体_GB2312" w:eastAsia="楷体_GB2312" w:hAnsi="楷体_GB2312" w:cs="楷体_GB2312" w:hint="eastAsia"/>
                <w:noProof/>
                <w:szCs w:val="32"/>
              </w:rPr>
              <w:t xml:space="preserve"> </w:t>
            </w:r>
            <w:r w:rsidR="00C74794">
              <w:rPr>
                <w:rFonts w:ascii="楷体_GB2312" w:eastAsia="楷体_GB2312" w:hAnsi="楷体_GB2312" w:cs="楷体_GB2312" w:hint="eastAsia"/>
                <w:noProof/>
                <w:szCs w:val="32"/>
                <w:lang w:val="zh-TW"/>
              </w:rPr>
              <w:t>实施现代食品产业壮大提高工程</w:t>
            </w:r>
            <w:r w:rsidR="00C74794">
              <w:rPr>
                <w:noProof/>
              </w:rPr>
              <w:tab/>
            </w:r>
            <w:r w:rsidR="0045498C">
              <w:rPr>
                <w:noProof/>
              </w:rPr>
              <w:fldChar w:fldCharType="begin"/>
            </w:r>
            <w:r w:rsidR="00C74794">
              <w:rPr>
                <w:noProof/>
              </w:rPr>
              <w:instrText xml:space="preserve"> PAGEREF _Toc19912 </w:instrText>
            </w:r>
            <w:r w:rsidR="0045498C">
              <w:rPr>
                <w:noProof/>
              </w:rPr>
              <w:fldChar w:fldCharType="separate"/>
            </w:r>
            <w:r w:rsidR="000278DC">
              <w:rPr>
                <w:noProof/>
              </w:rPr>
              <w:t>27</w:t>
            </w:r>
            <w:r w:rsidR="0045498C">
              <w:rPr>
                <w:noProof/>
              </w:rPr>
              <w:fldChar w:fldCharType="end"/>
            </w:r>
          </w:hyperlink>
        </w:p>
        <w:p w14:paraId="1DA78211" w14:textId="77777777" w:rsidR="00501569" w:rsidRDefault="00000000">
          <w:pPr>
            <w:pStyle w:val="TOC2"/>
            <w:tabs>
              <w:tab w:val="right" w:leader="dot" w:pos="8306"/>
            </w:tabs>
            <w:rPr>
              <w:noProof/>
            </w:rPr>
          </w:pPr>
          <w:hyperlink w:anchor="_Toc15302" w:history="1">
            <w:r w:rsidR="00C74794">
              <w:rPr>
                <w:rFonts w:ascii="楷体_GB2312" w:eastAsia="楷体_GB2312" w:hAnsi="楷体_GB2312" w:cs="楷体_GB2312" w:hint="eastAsia"/>
                <w:noProof/>
                <w:szCs w:val="32"/>
              </w:rPr>
              <w:t>第二节 实施装备制造产业改造提升工程</w:t>
            </w:r>
            <w:r w:rsidR="00C74794">
              <w:rPr>
                <w:noProof/>
              </w:rPr>
              <w:tab/>
            </w:r>
            <w:r w:rsidR="0045498C">
              <w:rPr>
                <w:noProof/>
              </w:rPr>
              <w:fldChar w:fldCharType="begin"/>
            </w:r>
            <w:r w:rsidR="00C74794">
              <w:rPr>
                <w:noProof/>
              </w:rPr>
              <w:instrText xml:space="preserve"> PAGEREF _Toc15302 </w:instrText>
            </w:r>
            <w:r w:rsidR="0045498C">
              <w:rPr>
                <w:noProof/>
              </w:rPr>
              <w:fldChar w:fldCharType="separate"/>
            </w:r>
            <w:r w:rsidR="000278DC">
              <w:rPr>
                <w:noProof/>
              </w:rPr>
              <w:t>29</w:t>
            </w:r>
            <w:r w:rsidR="0045498C">
              <w:rPr>
                <w:noProof/>
              </w:rPr>
              <w:fldChar w:fldCharType="end"/>
            </w:r>
          </w:hyperlink>
        </w:p>
        <w:p w14:paraId="3E3577C7" w14:textId="77777777" w:rsidR="00501569" w:rsidRDefault="00000000">
          <w:pPr>
            <w:pStyle w:val="TOC2"/>
            <w:tabs>
              <w:tab w:val="right" w:leader="dot" w:pos="8306"/>
            </w:tabs>
            <w:rPr>
              <w:noProof/>
            </w:rPr>
          </w:pPr>
          <w:hyperlink w:anchor="_Toc22345" w:history="1">
            <w:r w:rsidR="00C74794">
              <w:rPr>
                <w:rFonts w:ascii="楷体_GB2312" w:eastAsia="楷体_GB2312" w:hAnsi="楷体_GB2312" w:cs="楷体_GB2312" w:hint="eastAsia"/>
                <w:noProof/>
                <w:szCs w:val="32"/>
              </w:rPr>
              <w:t>第三节 实施现代物流产业融通提效工程</w:t>
            </w:r>
            <w:r w:rsidR="00C74794">
              <w:rPr>
                <w:noProof/>
              </w:rPr>
              <w:tab/>
            </w:r>
            <w:r w:rsidR="0045498C">
              <w:rPr>
                <w:noProof/>
              </w:rPr>
              <w:fldChar w:fldCharType="begin"/>
            </w:r>
            <w:r w:rsidR="00C74794">
              <w:rPr>
                <w:noProof/>
              </w:rPr>
              <w:instrText xml:space="preserve"> PAGEREF _Toc22345 </w:instrText>
            </w:r>
            <w:r w:rsidR="0045498C">
              <w:rPr>
                <w:noProof/>
              </w:rPr>
              <w:fldChar w:fldCharType="separate"/>
            </w:r>
            <w:r w:rsidR="000278DC">
              <w:rPr>
                <w:noProof/>
              </w:rPr>
              <w:t>32</w:t>
            </w:r>
            <w:r w:rsidR="0045498C">
              <w:rPr>
                <w:noProof/>
              </w:rPr>
              <w:fldChar w:fldCharType="end"/>
            </w:r>
          </w:hyperlink>
        </w:p>
        <w:p w14:paraId="2440F093" w14:textId="77777777" w:rsidR="00501569" w:rsidRDefault="00000000">
          <w:pPr>
            <w:pStyle w:val="TOC2"/>
            <w:tabs>
              <w:tab w:val="right" w:leader="dot" w:pos="8306"/>
            </w:tabs>
            <w:rPr>
              <w:noProof/>
            </w:rPr>
          </w:pPr>
          <w:hyperlink w:anchor="_Toc4795" w:history="1">
            <w:r w:rsidR="00C74794">
              <w:rPr>
                <w:rFonts w:ascii="楷体_GB2312" w:eastAsia="楷体_GB2312" w:hAnsi="楷体_GB2312" w:cs="楷体_GB2312" w:hint="eastAsia"/>
                <w:noProof/>
                <w:szCs w:val="32"/>
              </w:rPr>
              <w:t>第四节 实施现代种子产业发展提速工程</w:t>
            </w:r>
            <w:r w:rsidR="00C74794">
              <w:rPr>
                <w:noProof/>
              </w:rPr>
              <w:tab/>
            </w:r>
            <w:r w:rsidR="0045498C">
              <w:rPr>
                <w:noProof/>
              </w:rPr>
              <w:fldChar w:fldCharType="begin"/>
            </w:r>
            <w:r w:rsidR="00C74794">
              <w:rPr>
                <w:noProof/>
              </w:rPr>
              <w:instrText xml:space="preserve"> PAGEREF _Toc4795 </w:instrText>
            </w:r>
            <w:r w:rsidR="0045498C">
              <w:rPr>
                <w:noProof/>
              </w:rPr>
              <w:fldChar w:fldCharType="separate"/>
            </w:r>
            <w:r w:rsidR="000278DC">
              <w:rPr>
                <w:noProof/>
              </w:rPr>
              <w:t>34</w:t>
            </w:r>
            <w:r w:rsidR="0045498C">
              <w:rPr>
                <w:noProof/>
              </w:rPr>
              <w:fldChar w:fldCharType="end"/>
            </w:r>
          </w:hyperlink>
        </w:p>
        <w:p w14:paraId="6A5A04BA" w14:textId="77777777" w:rsidR="00501569" w:rsidRDefault="00000000">
          <w:pPr>
            <w:pStyle w:val="TOC2"/>
            <w:tabs>
              <w:tab w:val="right" w:leader="dot" w:pos="8306"/>
            </w:tabs>
            <w:rPr>
              <w:noProof/>
            </w:rPr>
          </w:pPr>
          <w:hyperlink w:anchor="_Toc15144" w:history="1">
            <w:r w:rsidR="00C74794">
              <w:rPr>
                <w:rFonts w:ascii="楷体_GB2312" w:eastAsia="楷体_GB2312" w:hAnsi="楷体_GB2312" w:cs="楷体_GB2312" w:hint="eastAsia"/>
                <w:noProof/>
                <w:szCs w:val="32"/>
              </w:rPr>
              <w:t>第五节 实施文旅康养产业提质创优工程</w:t>
            </w:r>
            <w:r w:rsidR="00C74794">
              <w:rPr>
                <w:noProof/>
              </w:rPr>
              <w:tab/>
            </w:r>
            <w:r w:rsidR="0045498C">
              <w:rPr>
                <w:noProof/>
              </w:rPr>
              <w:fldChar w:fldCharType="begin"/>
            </w:r>
            <w:r w:rsidR="00C74794">
              <w:rPr>
                <w:noProof/>
              </w:rPr>
              <w:instrText xml:space="preserve"> PAGEREF _Toc15144 </w:instrText>
            </w:r>
            <w:r w:rsidR="0045498C">
              <w:rPr>
                <w:noProof/>
              </w:rPr>
              <w:fldChar w:fldCharType="separate"/>
            </w:r>
            <w:r w:rsidR="000278DC">
              <w:rPr>
                <w:noProof/>
              </w:rPr>
              <w:t>36</w:t>
            </w:r>
            <w:r w:rsidR="0045498C">
              <w:rPr>
                <w:noProof/>
              </w:rPr>
              <w:fldChar w:fldCharType="end"/>
            </w:r>
          </w:hyperlink>
        </w:p>
        <w:p w14:paraId="1A743ECC" w14:textId="77777777" w:rsidR="00501569" w:rsidRDefault="00000000">
          <w:pPr>
            <w:pStyle w:val="TOC2"/>
            <w:tabs>
              <w:tab w:val="right" w:leader="dot" w:pos="8306"/>
            </w:tabs>
            <w:rPr>
              <w:noProof/>
            </w:rPr>
          </w:pPr>
          <w:hyperlink w:anchor="_Toc25476" w:history="1">
            <w:r w:rsidR="00C74794">
              <w:rPr>
                <w:rFonts w:ascii="楷体_GB2312" w:eastAsia="楷体_GB2312" w:hAnsi="楷体_GB2312" w:cs="楷体_GB2312" w:hint="eastAsia"/>
                <w:noProof/>
                <w:szCs w:val="32"/>
              </w:rPr>
              <w:t>第六节 实施医药产业培育招引工程</w:t>
            </w:r>
            <w:r w:rsidR="00C74794">
              <w:rPr>
                <w:noProof/>
              </w:rPr>
              <w:tab/>
            </w:r>
            <w:r w:rsidR="0045498C">
              <w:rPr>
                <w:noProof/>
              </w:rPr>
              <w:fldChar w:fldCharType="begin"/>
            </w:r>
            <w:r w:rsidR="00C74794">
              <w:rPr>
                <w:noProof/>
              </w:rPr>
              <w:instrText xml:space="preserve"> PAGEREF _Toc25476 </w:instrText>
            </w:r>
            <w:r w:rsidR="0045498C">
              <w:rPr>
                <w:noProof/>
              </w:rPr>
              <w:fldChar w:fldCharType="separate"/>
            </w:r>
            <w:r w:rsidR="000278DC">
              <w:rPr>
                <w:noProof/>
              </w:rPr>
              <w:t>39</w:t>
            </w:r>
            <w:r w:rsidR="0045498C">
              <w:rPr>
                <w:noProof/>
              </w:rPr>
              <w:fldChar w:fldCharType="end"/>
            </w:r>
          </w:hyperlink>
        </w:p>
        <w:p w14:paraId="7899C8CF" w14:textId="77777777" w:rsidR="00501569" w:rsidRDefault="00000000">
          <w:pPr>
            <w:pStyle w:val="TOC1"/>
            <w:tabs>
              <w:tab w:val="right" w:leader="dot" w:pos="8306"/>
            </w:tabs>
            <w:rPr>
              <w:noProof/>
            </w:rPr>
          </w:pPr>
          <w:hyperlink w:anchor="_Toc12210" w:history="1">
            <w:r w:rsidR="00C74794">
              <w:rPr>
                <w:rFonts w:ascii="黑体" w:eastAsia="黑体" w:hAnsi="黑体" w:cs="黑体" w:hint="eastAsia"/>
                <w:bCs/>
                <w:noProof/>
                <w:szCs w:val="32"/>
              </w:rPr>
              <w:t>第四章 加快服务业转型提质，培育服务经济新动能</w:t>
            </w:r>
            <w:r w:rsidR="00C74794">
              <w:rPr>
                <w:noProof/>
              </w:rPr>
              <w:tab/>
            </w:r>
            <w:r w:rsidR="0045498C">
              <w:rPr>
                <w:noProof/>
              </w:rPr>
              <w:fldChar w:fldCharType="begin"/>
            </w:r>
            <w:r w:rsidR="00C74794">
              <w:rPr>
                <w:noProof/>
              </w:rPr>
              <w:instrText xml:space="preserve"> PAGEREF _Toc12210 </w:instrText>
            </w:r>
            <w:r w:rsidR="0045498C">
              <w:rPr>
                <w:noProof/>
              </w:rPr>
              <w:fldChar w:fldCharType="separate"/>
            </w:r>
            <w:r w:rsidR="000278DC">
              <w:rPr>
                <w:noProof/>
              </w:rPr>
              <w:t>41</w:t>
            </w:r>
            <w:r w:rsidR="0045498C">
              <w:rPr>
                <w:noProof/>
              </w:rPr>
              <w:fldChar w:fldCharType="end"/>
            </w:r>
          </w:hyperlink>
        </w:p>
        <w:p w14:paraId="3EB9AFF3" w14:textId="77777777" w:rsidR="00501569" w:rsidRDefault="00000000">
          <w:pPr>
            <w:pStyle w:val="TOC2"/>
            <w:tabs>
              <w:tab w:val="right" w:leader="dot" w:pos="8306"/>
            </w:tabs>
            <w:rPr>
              <w:noProof/>
            </w:rPr>
          </w:pPr>
          <w:hyperlink w:anchor="_Toc15571" w:history="1">
            <w:r w:rsidR="00C74794">
              <w:rPr>
                <w:rFonts w:ascii="楷体_GB2312" w:eastAsia="楷体_GB2312" w:hAnsi="楷体_GB2312" w:cs="楷体_GB2312" w:hint="eastAsia"/>
                <w:noProof/>
                <w:szCs w:val="32"/>
              </w:rPr>
              <w:t>第一节 推动生产性服务业向价值链高端延伸</w:t>
            </w:r>
            <w:r w:rsidR="00C74794">
              <w:rPr>
                <w:noProof/>
              </w:rPr>
              <w:tab/>
            </w:r>
            <w:r w:rsidR="0045498C">
              <w:rPr>
                <w:noProof/>
              </w:rPr>
              <w:fldChar w:fldCharType="begin"/>
            </w:r>
            <w:r w:rsidR="00C74794">
              <w:rPr>
                <w:noProof/>
              </w:rPr>
              <w:instrText xml:space="preserve"> PAGEREF _Toc15571 </w:instrText>
            </w:r>
            <w:r w:rsidR="0045498C">
              <w:rPr>
                <w:noProof/>
              </w:rPr>
              <w:fldChar w:fldCharType="separate"/>
            </w:r>
            <w:r w:rsidR="000278DC">
              <w:rPr>
                <w:noProof/>
              </w:rPr>
              <w:t>41</w:t>
            </w:r>
            <w:r w:rsidR="0045498C">
              <w:rPr>
                <w:noProof/>
              </w:rPr>
              <w:fldChar w:fldCharType="end"/>
            </w:r>
          </w:hyperlink>
        </w:p>
        <w:p w14:paraId="749FD5C4" w14:textId="77777777" w:rsidR="00501569" w:rsidRDefault="00000000">
          <w:pPr>
            <w:pStyle w:val="TOC2"/>
            <w:tabs>
              <w:tab w:val="right" w:leader="dot" w:pos="8306"/>
            </w:tabs>
            <w:rPr>
              <w:noProof/>
            </w:rPr>
          </w:pPr>
          <w:hyperlink w:anchor="_Toc15392" w:history="1">
            <w:r w:rsidR="00C74794">
              <w:rPr>
                <w:rFonts w:ascii="楷体_GB2312" w:eastAsia="楷体_GB2312" w:hAnsi="楷体_GB2312" w:cs="楷体_GB2312" w:hint="eastAsia"/>
                <w:noProof/>
                <w:szCs w:val="32"/>
              </w:rPr>
              <w:t>第二节 推进生活性服务业高质化发展</w:t>
            </w:r>
            <w:r w:rsidR="00C74794">
              <w:rPr>
                <w:noProof/>
              </w:rPr>
              <w:tab/>
            </w:r>
            <w:r w:rsidR="0045498C">
              <w:rPr>
                <w:noProof/>
              </w:rPr>
              <w:fldChar w:fldCharType="begin"/>
            </w:r>
            <w:r w:rsidR="00C74794">
              <w:rPr>
                <w:noProof/>
              </w:rPr>
              <w:instrText xml:space="preserve"> PAGEREF _Toc15392 </w:instrText>
            </w:r>
            <w:r w:rsidR="0045498C">
              <w:rPr>
                <w:noProof/>
              </w:rPr>
              <w:fldChar w:fldCharType="separate"/>
            </w:r>
            <w:r w:rsidR="000278DC">
              <w:rPr>
                <w:noProof/>
              </w:rPr>
              <w:t>43</w:t>
            </w:r>
            <w:r w:rsidR="0045498C">
              <w:rPr>
                <w:noProof/>
              </w:rPr>
              <w:fldChar w:fldCharType="end"/>
            </w:r>
          </w:hyperlink>
        </w:p>
        <w:p w14:paraId="32D8ADE6" w14:textId="77777777" w:rsidR="00501569" w:rsidRDefault="00000000">
          <w:pPr>
            <w:pStyle w:val="TOC2"/>
            <w:tabs>
              <w:tab w:val="right" w:leader="dot" w:pos="8306"/>
            </w:tabs>
            <w:rPr>
              <w:noProof/>
            </w:rPr>
          </w:pPr>
          <w:hyperlink w:anchor="_Toc5918" w:history="1">
            <w:r w:rsidR="00C74794">
              <w:rPr>
                <w:rFonts w:ascii="楷体_GB2312" w:eastAsia="楷体_GB2312" w:hAnsi="楷体_GB2312" w:cs="楷体_GB2312" w:hint="eastAsia"/>
                <w:noProof/>
                <w:szCs w:val="32"/>
              </w:rPr>
              <w:t>第三节 推进服务业集聚发展</w:t>
            </w:r>
            <w:r w:rsidR="00C74794">
              <w:rPr>
                <w:noProof/>
              </w:rPr>
              <w:tab/>
            </w:r>
            <w:r w:rsidR="0045498C">
              <w:rPr>
                <w:noProof/>
              </w:rPr>
              <w:fldChar w:fldCharType="begin"/>
            </w:r>
            <w:r w:rsidR="00C74794">
              <w:rPr>
                <w:noProof/>
              </w:rPr>
              <w:instrText xml:space="preserve"> PAGEREF _Toc5918 </w:instrText>
            </w:r>
            <w:r w:rsidR="0045498C">
              <w:rPr>
                <w:noProof/>
              </w:rPr>
              <w:fldChar w:fldCharType="separate"/>
            </w:r>
            <w:r w:rsidR="000278DC">
              <w:rPr>
                <w:noProof/>
              </w:rPr>
              <w:t>45</w:t>
            </w:r>
            <w:r w:rsidR="0045498C">
              <w:rPr>
                <w:noProof/>
              </w:rPr>
              <w:fldChar w:fldCharType="end"/>
            </w:r>
          </w:hyperlink>
        </w:p>
        <w:p w14:paraId="3D942766" w14:textId="77777777" w:rsidR="00501569" w:rsidRDefault="00000000">
          <w:pPr>
            <w:pStyle w:val="TOC1"/>
            <w:tabs>
              <w:tab w:val="right" w:leader="dot" w:pos="8306"/>
            </w:tabs>
            <w:rPr>
              <w:noProof/>
            </w:rPr>
          </w:pPr>
          <w:hyperlink w:anchor="_Toc21671" w:history="1">
            <w:r w:rsidR="00C74794">
              <w:rPr>
                <w:rFonts w:ascii="黑体" w:eastAsia="黑体" w:hAnsi="黑体" w:cs="黑体" w:hint="eastAsia"/>
                <w:noProof/>
                <w:szCs w:val="32"/>
              </w:rPr>
              <w:t>第五章 对接长春国家区域创新中心建设，实施产业技术协同创新促进工程</w:t>
            </w:r>
            <w:r w:rsidR="00C74794">
              <w:rPr>
                <w:noProof/>
              </w:rPr>
              <w:tab/>
            </w:r>
            <w:r w:rsidR="0045498C">
              <w:rPr>
                <w:noProof/>
              </w:rPr>
              <w:fldChar w:fldCharType="begin"/>
            </w:r>
            <w:r w:rsidR="00C74794">
              <w:rPr>
                <w:noProof/>
              </w:rPr>
              <w:instrText xml:space="preserve"> PAGEREF _Toc21671 </w:instrText>
            </w:r>
            <w:r w:rsidR="0045498C">
              <w:rPr>
                <w:noProof/>
              </w:rPr>
              <w:fldChar w:fldCharType="separate"/>
            </w:r>
            <w:r w:rsidR="000278DC">
              <w:rPr>
                <w:noProof/>
              </w:rPr>
              <w:t>47</w:t>
            </w:r>
            <w:r w:rsidR="0045498C">
              <w:rPr>
                <w:noProof/>
              </w:rPr>
              <w:fldChar w:fldCharType="end"/>
            </w:r>
          </w:hyperlink>
        </w:p>
        <w:p w14:paraId="77B83B89" w14:textId="77777777" w:rsidR="00501569" w:rsidRDefault="00000000">
          <w:pPr>
            <w:pStyle w:val="TOC2"/>
            <w:tabs>
              <w:tab w:val="right" w:leader="dot" w:pos="8306"/>
            </w:tabs>
            <w:rPr>
              <w:noProof/>
            </w:rPr>
          </w:pPr>
          <w:hyperlink w:anchor="_Toc25844" w:history="1">
            <w:r w:rsidR="00C74794">
              <w:rPr>
                <w:rFonts w:ascii="楷体_GB2312" w:eastAsia="楷体_GB2312" w:hAnsi="楷体_GB2312" w:cs="楷体_GB2312" w:hint="eastAsia"/>
                <w:bCs/>
                <w:noProof/>
                <w:szCs w:val="32"/>
              </w:rPr>
              <w:t>第一节 强化与长春区域协同创新</w:t>
            </w:r>
            <w:r w:rsidR="00C74794">
              <w:rPr>
                <w:noProof/>
              </w:rPr>
              <w:tab/>
            </w:r>
            <w:r w:rsidR="0045498C">
              <w:rPr>
                <w:noProof/>
              </w:rPr>
              <w:fldChar w:fldCharType="begin"/>
            </w:r>
            <w:r w:rsidR="00C74794">
              <w:rPr>
                <w:noProof/>
              </w:rPr>
              <w:instrText xml:space="preserve"> PAGEREF _Toc25844 </w:instrText>
            </w:r>
            <w:r w:rsidR="0045498C">
              <w:rPr>
                <w:noProof/>
              </w:rPr>
              <w:fldChar w:fldCharType="separate"/>
            </w:r>
            <w:r w:rsidR="000278DC">
              <w:rPr>
                <w:noProof/>
              </w:rPr>
              <w:t>47</w:t>
            </w:r>
            <w:r w:rsidR="0045498C">
              <w:rPr>
                <w:noProof/>
              </w:rPr>
              <w:fldChar w:fldCharType="end"/>
            </w:r>
          </w:hyperlink>
        </w:p>
        <w:p w14:paraId="71D0DB8C" w14:textId="77777777" w:rsidR="00501569" w:rsidRDefault="00000000">
          <w:pPr>
            <w:pStyle w:val="TOC2"/>
            <w:tabs>
              <w:tab w:val="right" w:leader="dot" w:pos="8306"/>
            </w:tabs>
            <w:rPr>
              <w:noProof/>
            </w:rPr>
          </w:pPr>
          <w:hyperlink w:anchor="_Toc31747" w:history="1">
            <w:r w:rsidR="00C74794">
              <w:rPr>
                <w:rFonts w:ascii="楷体_GB2312" w:eastAsia="楷体_GB2312" w:hAnsi="楷体_GB2312" w:cs="楷体_GB2312" w:hint="eastAsia"/>
                <w:bCs/>
                <w:noProof/>
                <w:szCs w:val="32"/>
              </w:rPr>
              <w:t>第二节 推进产业链创新链深度融合</w:t>
            </w:r>
            <w:r w:rsidR="00C74794">
              <w:rPr>
                <w:noProof/>
              </w:rPr>
              <w:tab/>
            </w:r>
            <w:r w:rsidR="0045498C">
              <w:rPr>
                <w:noProof/>
              </w:rPr>
              <w:fldChar w:fldCharType="begin"/>
            </w:r>
            <w:r w:rsidR="00C74794">
              <w:rPr>
                <w:noProof/>
              </w:rPr>
              <w:instrText xml:space="preserve"> PAGEREF _Toc31747 </w:instrText>
            </w:r>
            <w:r w:rsidR="0045498C">
              <w:rPr>
                <w:noProof/>
              </w:rPr>
              <w:fldChar w:fldCharType="separate"/>
            </w:r>
            <w:r w:rsidR="000278DC">
              <w:rPr>
                <w:noProof/>
              </w:rPr>
              <w:t>48</w:t>
            </w:r>
            <w:r w:rsidR="0045498C">
              <w:rPr>
                <w:noProof/>
              </w:rPr>
              <w:fldChar w:fldCharType="end"/>
            </w:r>
          </w:hyperlink>
        </w:p>
        <w:p w14:paraId="74836F89" w14:textId="77777777" w:rsidR="00501569" w:rsidRDefault="00000000">
          <w:pPr>
            <w:pStyle w:val="TOC2"/>
            <w:tabs>
              <w:tab w:val="right" w:leader="dot" w:pos="8306"/>
            </w:tabs>
            <w:rPr>
              <w:noProof/>
            </w:rPr>
          </w:pPr>
          <w:hyperlink w:anchor="_Toc14053" w:history="1">
            <w:r w:rsidR="00C74794">
              <w:rPr>
                <w:rFonts w:ascii="楷体_GB2312" w:eastAsia="楷体_GB2312" w:hAnsi="楷体_GB2312" w:cs="楷体_GB2312" w:hint="eastAsia"/>
                <w:bCs/>
                <w:noProof/>
                <w:szCs w:val="32"/>
              </w:rPr>
              <w:t>第三节 强化人才支撑</w:t>
            </w:r>
            <w:r w:rsidR="00C74794">
              <w:rPr>
                <w:noProof/>
              </w:rPr>
              <w:tab/>
            </w:r>
            <w:r w:rsidR="0045498C">
              <w:rPr>
                <w:noProof/>
              </w:rPr>
              <w:fldChar w:fldCharType="begin"/>
            </w:r>
            <w:r w:rsidR="00C74794">
              <w:rPr>
                <w:noProof/>
              </w:rPr>
              <w:instrText xml:space="preserve"> PAGEREF _Toc14053 </w:instrText>
            </w:r>
            <w:r w:rsidR="0045498C">
              <w:rPr>
                <w:noProof/>
              </w:rPr>
              <w:fldChar w:fldCharType="separate"/>
            </w:r>
            <w:r w:rsidR="000278DC">
              <w:rPr>
                <w:noProof/>
              </w:rPr>
              <w:t>49</w:t>
            </w:r>
            <w:r w:rsidR="0045498C">
              <w:rPr>
                <w:noProof/>
              </w:rPr>
              <w:fldChar w:fldCharType="end"/>
            </w:r>
          </w:hyperlink>
        </w:p>
        <w:p w14:paraId="715AC757" w14:textId="77777777" w:rsidR="00501569" w:rsidRDefault="00000000">
          <w:pPr>
            <w:pStyle w:val="TOC2"/>
            <w:tabs>
              <w:tab w:val="right" w:leader="dot" w:pos="8306"/>
            </w:tabs>
            <w:rPr>
              <w:noProof/>
            </w:rPr>
          </w:pPr>
          <w:hyperlink w:anchor="_Toc15933" w:history="1">
            <w:r w:rsidR="00C74794">
              <w:rPr>
                <w:rFonts w:ascii="楷体_GB2312" w:eastAsia="楷体_GB2312" w:hAnsi="楷体_GB2312" w:cs="楷体_GB2312" w:hint="eastAsia"/>
                <w:bCs/>
                <w:noProof/>
                <w:szCs w:val="32"/>
              </w:rPr>
              <w:t>第四节 优化创新创业生态环境</w:t>
            </w:r>
            <w:r w:rsidR="00C74794">
              <w:rPr>
                <w:noProof/>
              </w:rPr>
              <w:tab/>
            </w:r>
            <w:r w:rsidR="0045498C">
              <w:rPr>
                <w:noProof/>
              </w:rPr>
              <w:fldChar w:fldCharType="begin"/>
            </w:r>
            <w:r w:rsidR="00C74794">
              <w:rPr>
                <w:noProof/>
              </w:rPr>
              <w:instrText xml:space="preserve"> PAGEREF _Toc15933 </w:instrText>
            </w:r>
            <w:r w:rsidR="0045498C">
              <w:rPr>
                <w:noProof/>
              </w:rPr>
              <w:fldChar w:fldCharType="separate"/>
            </w:r>
            <w:r w:rsidR="000278DC">
              <w:rPr>
                <w:noProof/>
              </w:rPr>
              <w:t>49</w:t>
            </w:r>
            <w:r w:rsidR="0045498C">
              <w:rPr>
                <w:noProof/>
              </w:rPr>
              <w:fldChar w:fldCharType="end"/>
            </w:r>
          </w:hyperlink>
        </w:p>
        <w:p w14:paraId="429E3616" w14:textId="77777777" w:rsidR="00501569" w:rsidRDefault="00000000">
          <w:pPr>
            <w:pStyle w:val="TOC2"/>
            <w:tabs>
              <w:tab w:val="right" w:leader="dot" w:pos="8306"/>
            </w:tabs>
            <w:rPr>
              <w:noProof/>
            </w:rPr>
          </w:pPr>
          <w:hyperlink w:anchor="_Toc6056" w:history="1">
            <w:r w:rsidR="00C74794">
              <w:rPr>
                <w:rFonts w:ascii="楷体_GB2312" w:eastAsia="楷体_GB2312" w:hAnsi="楷体_GB2312" w:cs="楷体_GB2312" w:hint="eastAsia"/>
                <w:bCs/>
                <w:noProof/>
                <w:szCs w:val="32"/>
              </w:rPr>
              <w:t>第五节 推进科技事业发展</w:t>
            </w:r>
            <w:r w:rsidR="00C74794">
              <w:rPr>
                <w:noProof/>
              </w:rPr>
              <w:tab/>
            </w:r>
            <w:r w:rsidR="0045498C">
              <w:rPr>
                <w:noProof/>
              </w:rPr>
              <w:fldChar w:fldCharType="begin"/>
            </w:r>
            <w:r w:rsidR="00C74794">
              <w:rPr>
                <w:noProof/>
              </w:rPr>
              <w:instrText xml:space="preserve"> PAGEREF _Toc6056 </w:instrText>
            </w:r>
            <w:r w:rsidR="0045498C">
              <w:rPr>
                <w:noProof/>
              </w:rPr>
              <w:fldChar w:fldCharType="separate"/>
            </w:r>
            <w:r w:rsidR="000278DC">
              <w:rPr>
                <w:noProof/>
              </w:rPr>
              <w:t>50</w:t>
            </w:r>
            <w:r w:rsidR="0045498C">
              <w:rPr>
                <w:noProof/>
              </w:rPr>
              <w:fldChar w:fldCharType="end"/>
            </w:r>
          </w:hyperlink>
        </w:p>
        <w:p w14:paraId="4A8DCFF8" w14:textId="77777777" w:rsidR="00501569" w:rsidRDefault="00000000">
          <w:pPr>
            <w:pStyle w:val="TOC1"/>
            <w:tabs>
              <w:tab w:val="right" w:leader="dot" w:pos="8306"/>
            </w:tabs>
            <w:rPr>
              <w:noProof/>
            </w:rPr>
          </w:pPr>
          <w:hyperlink w:anchor="_Toc14016" w:history="1">
            <w:r w:rsidR="00C74794">
              <w:rPr>
                <w:rFonts w:ascii="Tahoma" w:eastAsia="黑体" w:hAnsi="Tahoma" w:hint="eastAsia"/>
                <w:noProof/>
                <w:w w:val="96"/>
                <w:kern w:val="44"/>
                <w:szCs w:val="44"/>
              </w:rPr>
              <w:t>第六章</w:t>
            </w:r>
            <w:r w:rsidR="00C74794">
              <w:rPr>
                <w:rFonts w:ascii="Tahoma" w:eastAsia="黑体" w:hAnsi="Tahoma" w:hint="eastAsia"/>
                <w:noProof/>
                <w:w w:val="96"/>
                <w:kern w:val="44"/>
                <w:szCs w:val="44"/>
              </w:rPr>
              <w:t xml:space="preserve"> </w:t>
            </w:r>
            <w:r w:rsidR="00C74794">
              <w:rPr>
                <w:rFonts w:ascii="Tahoma" w:eastAsia="黑体" w:hAnsi="Tahoma" w:hint="eastAsia"/>
                <w:noProof/>
                <w:w w:val="96"/>
                <w:kern w:val="44"/>
                <w:szCs w:val="44"/>
              </w:rPr>
              <w:t>深入实施乡村振兴战略，推进率先实现农业农村现代化</w:t>
            </w:r>
            <w:r w:rsidR="00C74794">
              <w:rPr>
                <w:noProof/>
              </w:rPr>
              <w:tab/>
            </w:r>
            <w:r w:rsidR="0045498C">
              <w:rPr>
                <w:noProof/>
              </w:rPr>
              <w:fldChar w:fldCharType="begin"/>
            </w:r>
            <w:r w:rsidR="00C74794">
              <w:rPr>
                <w:noProof/>
              </w:rPr>
              <w:instrText xml:space="preserve"> PAGEREF _Toc14016 </w:instrText>
            </w:r>
            <w:r w:rsidR="0045498C">
              <w:rPr>
                <w:noProof/>
              </w:rPr>
              <w:fldChar w:fldCharType="separate"/>
            </w:r>
            <w:r w:rsidR="000278DC">
              <w:rPr>
                <w:noProof/>
              </w:rPr>
              <w:t>51</w:t>
            </w:r>
            <w:r w:rsidR="0045498C">
              <w:rPr>
                <w:noProof/>
              </w:rPr>
              <w:fldChar w:fldCharType="end"/>
            </w:r>
          </w:hyperlink>
        </w:p>
        <w:p w14:paraId="3D703F1A" w14:textId="77777777" w:rsidR="00501569" w:rsidRDefault="00000000">
          <w:pPr>
            <w:pStyle w:val="TOC2"/>
            <w:tabs>
              <w:tab w:val="right" w:leader="dot" w:pos="8306"/>
            </w:tabs>
            <w:rPr>
              <w:noProof/>
            </w:rPr>
          </w:pPr>
          <w:hyperlink w:anchor="_Toc10848" w:history="1">
            <w:r w:rsidR="00C74794">
              <w:rPr>
                <w:rFonts w:ascii="楷体_GB2312" w:eastAsia="楷体_GB2312" w:hAnsi="楷体_GB2312" w:cs="楷体_GB2312" w:hint="eastAsia"/>
                <w:noProof/>
                <w:szCs w:val="32"/>
              </w:rPr>
              <w:t>第一节 扛稳国家粮食安全重任</w:t>
            </w:r>
            <w:r w:rsidR="00C74794">
              <w:rPr>
                <w:noProof/>
              </w:rPr>
              <w:tab/>
            </w:r>
            <w:r w:rsidR="0045498C">
              <w:rPr>
                <w:noProof/>
              </w:rPr>
              <w:fldChar w:fldCharType="begin"/>
            </w:r>
            <w:r w:rsidR="00C74794">
              <w:rPr>
                <w:noProof/>
              </w:rPr>
              <w:instrText xml:space="preserve"> PAGEREF _Toc10848 </w:instrText>
            </w:r>
            <w:r w:rsidR="0045498C">
              <w:rPr>
                <w:noProof/>
              </w:rPr>
              <w:fldChar w:fldCharType="separate"/>
            </w:r>
            <w:r w:rsidR="000278DC">
              <w:rPr>
                <w:noProof/>
              </w:rPr>
              <w:t>51</w:t>
            </w:r>
            <w:r w:rsidR="0045498C">
              <w:rPr>
                <w:noProof/>
              </w:rPr>
              <w:fldChar w:fldCharType="end"/>
            </w:r>
          </w:hyperlink>
        </w:p>
        <w:p w14:paraId="16319267" w14:textId="77777777" w:rsidR="00501569" w:rsidRDefault="00000000">
          <w:pPr>
            <w:pStyle w:val="TOC2"/>
            <w:tabs>
              <w:tab w:val="right" w:leader="dot" w:pos="8306"/>
            </w:tabs>
            <w:rPr>
              <w:noProof/>
            </w:rPr>
          </w:pPr>
          <w:hyperlink w:anchor="_Toc9209" w:history="1">
            <w:r w:rsidR="00C74794">
              <w:rPr>
                <w:rFonts w:ascii="楷体_GB2312" w:eastAsia="楷体_GB2312" w:hAnsi="楷体_GB2312" w:cs="楷体_GB2312" w:hint="eastAsia"/>
                <w:noProof/>
                <w:szCs w:val="32"/>
              </w:rPr>
              <w:t>第二节</w:t>
            </w:r>
            <w:r w:rsidR="00C74794">
              <w:rPr>
                <w:rFonts w:ascii="楷体_GB2312" w:eastAsia="楷体_GB2312" w:hAnsi="楷体_GB2312" w:cs="楷体_GB2312"/>
                <w:noProof/>
                <w:szCs w:val="32"/>
              </w:rPr>
              <w:t xml:space="preserve"> </w:t>
            </w:r>
            <w:r w:rsidR="00C74794">
              <w:rPr>
                <w:rFonts w:ascii="楷体_GB2312" w:eastAsia="楷体_GB2312" w:hAnsi="楷体_GB2312" w:cs="楷体_GB2312" w:hint="eastAsia"/>
                <w:noProof/>
                <w:szCs w:val="32"/>
              </w:rPr>
              <w:t>提升现代农业“三大体系”</w:t>
            </w:r>
            <w:r w:rsidR="00C74794">
              <w:rPr>
                <w:noProof/>
              </w:rPr>
              <w:tab/>
            </w:r>
            <w:r w:rsidR="0045498C">
              <w:rPr>
                <w:noProof/>
              </w:rPr>
              <w:fldChar w:fldCharType="begin"/>
            </w:r>
            <w:r w:rsidR="00C74794">
              <w:rPr>
                <w:noProof/>
              </w:rPr>
              <w:instrText xml:space="preserve"> PAGEREF _Toc9209 </w:instrText>
            </w:r>
            <w:r w:rsidR="0045498C">
              <w:rPr>
                <w:noProof/>
              </w:rPr>
              <w:fldChar w:fldCharType="separate"/>
            </w:r>
            <w:r w:rsidR="000278DC">
              <w:rPr>
                <w:noProof/>
              </w:rPr>
              <w:t>52</w:t>
            </w:r>
            <w:r w:rsidR="0045498C">
              <w:rPr>
                <w:noProof/>
              </w:rPr>
              <w:fldChar w:fldCharType="end"/>
            </w:r>
          </w:hyperlink>
        </w:p>
        <w:p w14:paraId="06CA379D" w14:textId="77777777" w:rsidR="00501569" w:rsidRDefault="00000000">
          <w:pPr>
            <w:pStyle w:val="TOC2"/>
            <w:tabs>
              <w:tab w:val="right" w:leader="dot" w:pos="8306"/>
            </w:tabs>
            <w:rPr>
              <w:noProof/>
            </w:rPr>
          </w:pPr>
          <w:hyperlink w:anchor="_Toc9270" w:history="1">
            <w:r w:rsidR="00C74794">
              <w:rPr>
                <w:rFonts w:ascii="楷体_GB2312" w:eastAsia="楷体_GB2312" w:hAnsi="楷体_GB2312" w:cs="楷体_GB2312" w:hint="eastAsia"/>
                <w:noProof/>
                <w:szCs w:val="32"/>
              </w:rPr>
              <w:t>第三节 加快农村一二三产业融合发展</w:t>
            </w:r>
            <w:r w:rsidR="00C74794">
              <w:rPr>
                <w:noProof/>
              </w:rPr>
              <w:tab/>
            </w:r>
            <w:r w:rsidR="0045498C">
              <w:rPr>
                <w:noProof/>
              </w:rPr>
              <w:fldChar w:fldCharType="begin"/>
            </w:r>
            <w:r w:rsidR="00C74794">
              <w:rPr>
                <w:noProof/>
              </w:rPr>
              <w:instrText xml:space="preserve"> PAGEREF _Toc9270 </w:instrText>
            </w:r>
            <w:r w:rsidR="0045498C">
              <w:rPr>
                <w:noProof/>
              </w:rPr>
              <w:fldChar w:fldCharType="separate"/>
            </w:r>
            <w:r w:rsidR="000278DC">
              <w:rPr>
                <w:noProof/>
              </w:rPr>
              <w:t>55</w:t>
            </w:r>
            <w:r w:rsidR="0045498C">
              <w:rPr>
                <w:noProof/>
              </w:rPr>
              <w:fldChar w:fldCharType="end"/>
            </w:r>
          </w:hyperlink>
        </w:p>
        <w:p w14:paraId="16C42C5F" w14:textId="77777777" w:rsidR="00501569" w:rsidRDefault="00000000">
          <w:pPr>
            <w:pStyle w:val="TOC2"/>
            <w:tabs>
              <w:tab w:val="right" w:leader="dot" w:pos="8306"/>
            </w:tabs>
            <w:rPr>
              <w:noProof/>
            </w:rPr>
          </w:pPr>
          <w:hyperlink w:anchor="_Toc23828" w:history="1">
            <w:r w:rsidR="00C74794">
              <w:rPr>
                <w:rFonts w:ascii="楷体_GB2312" w:eastAsia="楷体_GB2312" w:hAnsi="楷体_GB2312" w:cs="楷体_GB2312" w:hint="eastAsia"/>
                <w:noProof/>
                <w:szCs w:val="32"/>
              </w:rPr>
              <w:t>第四节 实施乡村建设行动</w:t>
            </w:r>
            <w:r w:rsidR="00C74794">
              <w:rPr>
                <w:noProof/>
              </w:rPr>
              <w:tab/>
            </w:r>
            <w:r w:rsidR="0045498C">
              <w:rPr>
                <w:noProof/>
              </w:rPr>
              <w:fldChar w:fldCharType="begin"/>
            </w:r>
            <w:r w:rsidR="00C74794">
              <w:rPr>
                <w:noProof/>
              </w:rPr>
              <w:instrText xml:space="preserve"> PAGEREF _Toc23828 </w:instrText>
            </w:r>
            <w:r w:rsidR="0045498C">
              <w:rPr>
                <w:noProof/>
              </w:rPr>
              <w:fldChar w:fldCharType="separate"/>
            </w:r>
            <w:r w:rsidR="000278DC">
              <w:rPr>
                <w:noProof/>
              </w:rPr>
              <w:t>56</w:t>
            </w:r>
            <w:r w:rsidR="0045498C">
              <w:rPr>
                <w:noProof/>
              </w:rPr>
              <w:fldChar w:fldCharType="end"/>
            </w:r>
          </w:hyperlink>
        </w:p>
        <w:p w14:paraId="7EE70409" w14:textId="77777777" w:rsidR="00501569" w:rsidRDefault="00000000">
          <w:pPr>
            <w:pStyle w:val="TOC2"/>
            <w:tabs>
              <w:tab w:val="right" w:leader="dot" w:pos="8306"/>
            </w:tabs>
            <w:rPr>
              <w:noProof/>
            </w:rPr>
          </w:pPr>
          <w:hyperlink w:anchor="_Toc17318" w:history="1">
            <w:r w:rsidR="00C74794">
              <w:rPr>
                <w:rFonts w:ascii="楷体_GB2312" w:eastAsia="楷体_GB2312" w:hAnsi="楷体_GB2312" w:cs="楷体_GB2312" w:hint="eastAsia"/>
                <w:noProof/>
                <w:szCs w:val="32"/>
              </w:rPr>
              <w:t>第五节 巩固拓展脱贫攻坚成果同乡村振兴有效街接</w:t>
            </w:r>
            <w:r w:rsidR="00C74794">
              <w:rPr>
                <w:noProof/>
              </w:rPr>
              <w:tab/>
            </w:r>
            <w:r w:rsidR="0045498C">
              <w:rPr>
                <w:noProof/>
              </w:rPr>
              <w:fldChar w:fldCharType="begin"/>
            </w:r>
            <w:r w:rsidR="00C74794">
              <w:rPr>
                <w:noProof/>
              </w:rPr>
              <w:instrText xml:space="preserve"> PAGEREF _Toc17318 </w:instrText>
            </w:r>
            <w:r w:rsidR="0045498C">
              <w:rPr>
                <w:noProof/>
              </w:rPr>
              <w:fldChar w:fldCharType="separate"/>
            </w:r>
            <w:r w:rsidR="000278DC">
              <w:rPr>
                <w:noProof/>
              </w:rPr>
              <w:t>59</w:t>
            </w:r>
            <w:r w:rsidR="0045498C">
              <w:rPr>
                <w:noProof/>
              </w:rPr>
              <w:fldChar w:fldCharType="end"/>
            </w:r>
          </w:hyperlink>
        </w:p>
        <w:p w14:paraId="7F92D111" w14:textId="77777777" w:rsidR="00501569" w:rsidRDefault="00000000">
          <w:pPr>
            <w:pStyle w:val="TOC1"/>
            <w:tabs>
              <w:tab w:val="right" w:leader="dot" w:pos="8306"/>
            </w:tabs>
            <w:rPr>
              <w:noProof/>
            </w:rPr>
          </w:pPr>
          <w:hyperlink w:anchor="_Toc25244" w:history="1">
            <w:r w:rsidR="00C74794">
              <w:rPr>
                <w:rFonts w:ascii="黑体" w:eastAsia="黑体" w:hAnsi="黑体" w:hint="eastAsia"/>
                <w:noProof/>
                <w:szCs w:val="32"/>
              </w:rPr>
              <w:t>第七章 实施新型城镇化示范，构建城镇发展新格局</w:t>
            </w:r>
            <w:r w:rsidR="00C74794">
              <w:rPr>
                <w:noProof/>
              </w:rPr>
              <w:tab/>
            </w:r>
            <w:r w:rsidR="0045498C">
              <w:rPr>
                <w:noProof/>
              </w:rPr>
              <w:fldChar w:fldCharType="begin"/>
            </w:r>
            <w:r w:rsidR="00C74794">
              <w:rPr>
                <w:noProof/>
              </w:rPr>
              <w:instrText xml:space="preserve"> PAGEREF _Toc25244 </w:instrText>
            </w:r>
            <w:r w:rsidR="0045498C">
              <w:rPr>
                <w:noProof/>
              </w:rPr>
              <w:fldChar w:fldCharType="separate"/>
            </w:r>
            <w:r w:rsidR="000278DC">
              <w:rPr>
                <w:noProof/>
              </w:rPr>
              <w:t>60</w:t>
            </w:r>
            <w:r w:rsidR="0045498C">
              <w:rPr>
                <w:noProof/>
              </w:rPr>
              <w:fldChar w:fldCharType="end"/>
            </w:r>
          </w:hyperlink>
        </w:p>
        <w:p w14:paraId="3E6B667F" w14:textId="77777777" w:rsidR="00501569" w:rsidRDefault="00000000">
          <w:pPr>
            <w:pStyle w:val="TOC2"/>
            <w:tabs>
              <w:tab w:val="right" w:leader="dot" w:pos="8306"/>
            </w:tabs>
            <w:rPr>
              <w:noProof/>
            </w:rPr>
          </w:pPr>
          <w:hyperlink w:anchor="_Toc15140" w:history="1">
            <w:r w:rsidR="00C74794">
              <w:rPr>
                <w:rFonts w:ascii="楷体_GB2312" w:eastAsia="楷体_GB2312" w:hint="eastAsia"/>
                <w:bCs/>
                <w:noProof/>
                <w:szCs w:val="32"/>
              </w:rPr>
              <w:t>第一节 构建新型城镇化格局</w:t>
            </w:r>
            <w:r w:rsidR="00C74794">
              <w:rPr>
                <w:noProof/>
              </w:rPr>
              <w:tab/>
            </w:r>
            <w:r w:rsidR="0045498C">
              <w:rPr>
                <w:noProof/>
              </w:rPr>
              <w:fldChar w:fldCharType="begin"/>
            </w:r>
            <w:r w:rsidR="00C74794">
              <w:rPr>
                <w:noProof/>
              </w:rPr>
              <w:instrText xml:space="preserve"> PAGEREF _Toc15140 </w:instrText>
            </w:r>
            <w:r w:rsidR="0045498C">
              <w:rPr>
                <w:noProof/>
              </w:rPr>
              <w:fldChar w:fldCharType="separate"/>
            </w:r>
            <w:r w:rsidR="000278DC">
              <w:rPr>
                <w:noProof/>
              </w:rPr>
              <w:t>60</w:t>
            </w:r>
            <w:r w:rsidR="0045498C">
              <w:rPr>
                <w:noProof/>
              </w:rPr>
              <w:fldChar w:fldCharType="end"/>
            </w:r>
          </w:hyperlink>
        </w:p>
        <w:p w14:paraId="3947F093" w14:textId="77777777" w:rsidR="00501569" w:rsidRDefault="00000000">
          <w:pPr>
            <w:pStyle w:val="TOC2"/>
            <w:tabs>
              <w:tab w:val="right" w:leader="dot" w:pos="8306"/>
            </w:tabs>
            <w:rPr>
              <w:noProof/>
            </w:rPr>
          </w:pPr>
          <w:hyperlink w:anchor="_Toc18686" w:history="1">
            <w:r w:rsidR="00C74794">
              <w:rPr>
                <w:rFonts w:ascii="楷体_GB2312" w:eastAsia="楷体_GB2312" w:hint="eastAsia"/>
                <w:bCs/>
                <w:noProof/>
                <w:szCs w:val="32"/>
              </w:rPr>
              <w:t>第二节 提升城市发展质量</w:t>
            </w:r>
            <w:r w:rsidR="00C74794">
              <w:rPr>
                <w:noProof/>
              </w:rPr>
              <w:tab/>
            </w:r>
            <w:r w:rsidR="0045498C">
              <w:rPr>
                <w:noProof/>
              </w:rPr>
              <w:fldChar w:fldCharType="begin"/>
            </w:r>
            <w:r w:rsidR="00C74794">
              <w:rPr>
                <w:noProof/>
              </w:rPr>
              <w:instrText xml:space="preserve"> PAGEREF _Toc18686 </w:instrText>
            </w:r>
            <w:r w:rsidR="0045498C">
              <w:rPr>
                <w:noProof/>
              </w:rPr>
              <w:fldChar w:fldCharType="separate"/>
            </w:r>
            <w:r w:rsidR="000278DC">
              <w:rPr>
                <w:noProof/>
              </w:rPr>
              <w:t>62</w:t>
            </w:r>
            <w:r w:rsidR="0045498C">
              <w:rPr>
                <w:noProof/>
              </w:rPr>
              <w:fldChar w:fldCharType="end"/>
            </w:r>
          </w:hyperlink>
        </w:p>
        <w:p w14:paraId="17E51A76" w14:textId="77777777" w:rsidR="00501569" w:rsidRDefault="00000000">
          <w:pPr>
            <w:pStyle w:val="TOC2"/>
            <w:tabs>
              <w:tab w:val="right" w:leader="dot" w:pos="8306"/>
            </w:tabs>
            <w:rPr>
              <w:noProof/>
            </w:rPr>
          </w:pPr>
          <w:hyperlink w:anchor="_Toc29196" w:history="1">
            <w:r w:rsidR="00C74794">
              <w:rPr>
                <w:rFonts w:ascii="楷体_GB2312" w:eastAsia="楷体_GB2312" w:hint="eastAsia"/>
                <w:bCs/>
                <w:noProof/>
                <w:szCs w:val="32"/>
              </w:rPr>
              <w:t>第三节 加快建设特色产业小镇</w:t>
            </w:r>
            <w:r w:rsidR="00C74794">
              <w:rPr>
                <w:noProof/>
              </w:rPr>
              <w:tab/>
            </w:r>
            <w:r w:rsidR="0045498C">
              <w:rPr>
                <w:noProof/>
              </w:rPr>
              <w:fldChar w:fldCharType="begin"/>
            </w:r>
            <w:r w:rsidR="00C74794">
              <w:rPr>
                <w:noProof/>
              </w:rPr>
              <w:instrText xml:space="preserve"> PAGEREF _Toc29196 </w:instrText>
            </w:r>
            <w:r w:rsidR="0045498C">
              <w:rPr>
                <w:noProof/>
              </w:rPr>
              <w:fldChar w:fldCharType="separate"/>
            </w:r>
            <w:r w:rsidR="000278DC">
              <w:rPr>
                <w:noProof/>
              </w:rPr>
              <w:t>64</w:t>
            </w:r>
            <w:r w:rsidR="0045498C">
              <w:rPr>
                <w:noProof/>
              </w:rPr>
              <w:fldChar w:fldCharType="end"/>
            </w:r>
          </w:hyperlink>
        </w:p>
        <w:p w14:paraId="4B34D94A" w14:textId="77777777" w:rsidR="00501569" w:rsidRDefault="00000000">
          <w:pPr>
            <w:pStyle w:val="TOC2"/>
            <w:tabs>
              <w:tab w:val="right" w:leader="dot" w:pos="8306"/>
            </w:tabs>
            <w:rPr>
              <w:noProof/>
            </w:rPr>
          </w:pPr>
          <w:hyperlink w:anchor="_Toc29760" w:history="1">
            <w:r w:rsidR="00C74794">
              <w:rPr>
                <w:rFonts w:ascii="楷体_GB2312" w:eastAsia="楷体_GB2312" w:hAnsi="楷体_GB2312" w:cs="楷体_GB2312" w:hint="eastAsia"/>
                <w:noProof/>
                <w:szCs w:val="32"/>
              </w:rPr>
              <w:t>第四节 有序</w:t>
            </w:r>
            <w:r w:rsidR="00C74794">
              <w:rPr>
                <w:rFonts w:ascii="楷体_GB2312" w:eastAsia="楷体_GB2312" w:hAnsi="楷体_GB2312" w:cs="楷体_GB2312"/>
                <w:noProof/>
                <w:szCs w:val="32"/>
              </w:rPr>
              <w:t>推进农业转移人口市民化</w:t>
            </w:r>
            <w:r w:rsidR="00C74794">
              <w:rPr>
                <w:noProof/>
              </w:rPr>
              <w:tab/>
            </w:r>
            <w:r w:rsidR="0045498C">
              <w:rPr>
                <w:noProof/>
              </w:rPr>
              <w:fldChar w:fldCharType="begin"/>
            </w:r>
            <w:r w:rsidR="00C74794">
              <w:rPr>
                <w:noProof/>
              </w:rPr>
              <w:instrText xml:space="preserve"> PAGEREF _Toc29760 </w:instrText>
            </w:r>
            <w:r w:rsidR="0045498C">
              <w:rPr>
                <w:noProof/>
              </w:rPr>
              <w:fldChar w:fldCharType="separate"/>
            </w:r>
            <w:r w:rsidR="000278DC">
              <w:rPr>
                <w:noProof/>
              </w:rPr>
              <w:t>65</w:t>
            </w:r>
            <w:r w:rsidR="0045498C">
              <w:rPr>
                <w:noProof/>
              </w:rPr>
              <w:fldChar w:fldCharType="end"/>
            </w:r>
          </w:hyperlink>
        </w:p>
        <w:p w14:paraId="4580BD1B" w14:textId="77777777" w:rsidR="00501569" w:rsidRDefault="00000000">
          <w:pPr>
            <w:pStyle w:val="TOC2"/>
            <w:tabs>
              <w:tab w:val="right" w:leader="dot" w:pos="8306"/>
            </w:tabs>
            <w:rPr>
              <w:noProof/>
            </w:rPr>
          </w:pPr>
          <w:hyperlink w:anchor="_Toc22011" w:history="1">
            <w:r w:rsidR="00C74794">
              <w:rPr>
                <w:rFonts w:ascii="楷体_GB2312" w:eastAsia="楷体_GB2312" w:hAnsi="楷体_GB2312" w:cs="楷体_GB2312" w:hint="eastAsia"/>
                <w:noProof/>
                <w:szCs w:val="32"/>
              </w:rPr>
              <w:t>第五节 促进城乡融合发展</w:t>
            </w:r>
            <w:r w:rsidR="00C74794">
              <w:rPr>
                <w:noProof/>
              </w:rPr>
              <w:tab/>
            </w:r>
            <w:r w:rsidR="0045498C">
              <w:rPr>
                <w:noProof/>
              </w:rPr>
              <w:fldChar w:fldCharType="begin"/>
            </w:r>
            <w:r w:rsidR="00C74794">
              <w:rPr>
                <w:noProof/>
              </w:rPr>
              <w:instrText xml:space="preserve"> PAGEREF _Toc22011 </w:instrText>
            </w:r>
            <w:r w:rsidR="0045498C">
              <w:rPr>
                <w:noProof/>
              </w:rPr>
              <w:fldChar w:fldCharType="separate"/>
            </w:r>
            <w:r w:rsidR="000278DC">
              <w:rPr>
                <w:noProof/>
              </w:rPr>
              <w:t>66</w:t>
            </w:r>
            <w:r w:rsidR="0045498C">
              <w:rPr>
                <w:noProof/>
              </w:rPr>
              <w:fldChar w:fldCharType="end"/>
            </w:r>
          </w:hyperlink>
        </w:p>
        <w:p w14:paraId="76E38AC0" w14:textId="77777777" w:rsidR="00501569" w:rsidRDefault="00501569">
          <w:pPr>
            <w:pStyle w:val="TOC1"/>
            <w:tabs>
              <w:tab w:val="right" w:leader="dot" w:pos="8306"/>
            </w:tabs>
            <w:rPr>
              <w:noProof/>
            </w:rPr>
          </w:pPr>
        </w:p>
        <w:p w14:paraId="124ECEB4" w14:textId="77777777" w:rsidR="00501569" w:rsidRDefault="00000000">
          <w:pPr>
            <w:pStyle w:val="TOC1"/>
            <w:tabs>
              <w:tab w:val="right" w:leader="dot" w:pos="8306"/>
            </w:tabs>
            <w:rPr>
              <w:noProof/>
            </w:rPr>
          </w:pPr>
          <w:hyperlink w:anchor="_Toc5748" w:history="1">
            <w:r w:rsidR="00C74794">
              <w:rPr>
                <w:rFonts w:ascii="黑体" w:eastAsia="黑体" w:hAnsi="黑体" w:cs="黑体" w:hint="eastAsia"/>
                <w:noProof/>
                <w:szCs w:val="32"/>
              </w:rPr>
              <w:t>第八章 实施新基建“761”工程，增强发展支撑能力</w:t>
            </w:r>
            <w:r w:rsidR="00C74794">
              <w:rPr>
                <w:noProof/>
              </w:rPr>
              <w:tab/>
            </w:r>
            <w:r w:rsidR="0045498C">
              <w:rPr>
                <w:noProof/>
              </w:rPr>
              <w:fldChar w:fldCharType="begin"/>
            </w:r>
            <w:r w:rsidR="00C74794">
              <w:rPr>
                <w:noProof/>
              </w:rPr>
              <w:instrText xml:space="preserve"> PAGEREF _Toc5748 </w:instrText>
            </w:r>
            <w:r w:rsidR="0045498C">
              <w:rPr>
                <w:noProof/>
              </w:rPr>
              <w:fldChar w:fldCharType="separate"/>
            </w:r>
            <w:r w:rsidR="000278DC">
              <w:rPr>
                <w:noProof/>
              </w:rPr>
              <w:t>67</w:t>
            </w:r>
            <w:r w:rsidR="0045498C">
              <w:rPr>
                <w:noProof/>
              </w:rPr>
              <w:fldChar w:fldCharType="end"/>
            </w:r>
          </w:hyperlink>
        </w:p>
        <w:p w14:paraId="745C990B" w14:textId="77777777" w:rsidR="00501569" w:rsidRDefault="00000000">
          <w:pPr>
            <w:pStyle w:val="TOC2"/>
            <w:tabs>
              <w:tab w:val="right" w:leader="dot" w:pos="8306"/>
            </w:tabs>
            <w:rPr>
              <w:noProof/>
            </w:rPr>
          </w:pPr>
          <w:hyperlink w:anchor="_Toc2048" w:history="1">
            <w:r w:rsidR="00C74794">
              <w:rPr>
                <w:rFonts w:ascii="楷体_GB2312" w:eastAsia="楷体_GB2312" w:hAnsi="楷体_GB2312" w:cs="楷体_GB2312" w:hint="eastAsia"/>
                <w:noProof/>
                <w:szCs w:val="32"/>
              </w:rPr>
              <w:t>第一节 构建综合交通体系</w:t>
            </w:r>
            <w:r w:rsidR="00C74794">
              <w:rPr>
                <w:noProof/>
              </w:rPr>
              <w:tab/>
            </w:r>
            <w:r w:rsidR="0045498C">
              <w:rPr>
                <w:noProof/>
              </w:rPr>
              <w:fldChar w:fldCharType="begin"/>
            </w:r>
            <w:r w:rsidR="00C74794">
              <w:rPr>
                <w:noProof/>
              </w:rPr>
              <w:instrText xml:space="preserve"> PAGEREF _Toc2048 </w:instrText>
            </w:r>
            <w:r w:rsidR="0045498C">
              <w:rPr>
                <w:noProof/>
              </w:rPr>
              <w:fldChar w:fldCharType="separate"/>
            </w:r>
            <w:r w:rsidR="000278DC">
              <w:rPr>
                <w:noProof/>
              </w:rPr>
              <w:t>68</w:t>
            </w:r>
            <w:r w:rsidR="0045498C">
              <w:rPr>
                <w:noProof/>
              </w:rPr>
              <w:fldChar w:fldCharType="end"/>
            </w:r>
          </w:hyperlink>
        </w:p>
        <w:p w14:paraId="1F682A0B" w14:textId="77777777" w:rsidR="00501569" w:rsidRDefault="00000000">
          <w:pPr>
            <w:pStyle w:val="TOC2"/>
            <w:tabs>
              <w:tab w:val="right" w:leader="dot" w:pos="8306"/>
            </w:tabs>
            <w:rPr>
              <w:noProof/>
            </w:rPr>
          </w:pPr>
          <w:hyperlink w:anchor="_Toc11940" w:history="1">
            <w:r w:rsidR="00C74794">
              <w:rPr>
                <w:rFonts w:ascii="楷体_GB2312" w:eastAsia="楷体_GB2312" w:hAnsi="楷体_GB2312" w:cs="楷体_GB2312" w:hint="eastAsia"/>
                <w:noProof/>
                <w:szCs w:val="32"/>
              </w:rPr>
              <w:t>第二节 加快建设水利设施</w:t>
            </w:r>
            <w:r w:rsidR="00C74794">
              <w:rPr>
                <w:noProof/>
              </w:rPr>
              <w:tab/>
            </w:r>
            <w:r w:rsidR="0045498C">
              <w:rPr>
                <w:noProof/>
              </w:rPr>
              <w:fldChar w:fldCharType="begin"/>
            </w:r>
            <w:r w:rsidR="00C74794">
              <w:rPr>
                <w:noProof/>
              </w:rPr>
              <w:instrText xml:space="preserve"> PAGEREF _Toc11940 </w:instrText>
            </w:r>
            <w:r w:rsidR="0045498C">
              <w:rPr>
                <w:noProof/>
              </w:rPr>
              <w:fldChar w:fldCharType="separate"/>
            </w:r>
            <w:r w:rsidR="000278DC">
              <w:rPr>
                <w:noProof/>
              </w:rPr>
              <w:t>68</w:t>
            </w:r>
            <w:r w:rsidR="0045498C">
              <w:rPr>
                <w:noProof/>
              </w:rPr>
              <w:fldChar w:fldCharType="end"/>
            </w:r>
          </w:hyperlink>
        </w:p>
        <w:p w14:paraId="7A21A2F6" w14:textId="77777777" w:rsidR="00501569" w:rsidRDefault="00000000">
          <w:pPr>
            <w:pStyle w:val="TOC2"/>
            <w:tabs>
              <w:tab w:val="right" w:leader="dot" w:pos="8306"/>
            </w:tabs>
            <w:rPr>
              <w:noProof/>
            </w:rPr>
          </w:pPr>
          <w:hyperlink w:anchor="_Toc19530" w:history="1">
            <w:r w:rsidR="00C74794">
              <w:rPr>
                <w:rFonts w:ascii="楷体_GB2312" w:eastAsia="楷体_GB2312" w:hAnsi="楷体_GB2312" w:cs="楷体_GB2312" w:hint="eastAsia"/>
                <w:noProof/>
                <w:szCs w:val="32"/>
              </w:rPr>
              <w:t>第三节 提高能源设施保障</w:t>
            </w:r>
            <w:r w:rsidR="00C74794">
              <w:rPr>
                <w:noProof/>
              </w:rPr>
              <w:tab/>
            </w:r>
            <w:r w:rsidR="0045498C">
              <w:rPr>
                <w:noProof/>
              </w:rPr>
              <w:fldChar w:fldCharType="begin"/>
            </w:r>
            <w:r w:rsidR="00C74794">
              <w:rPr>
                <w:noProof/>
              </w:rPr>
              <w:instrText xml:space="preserve"> PAGEREF _Toc19530 </w:instrText>
            </w:r>
            <w:r w:rsidR="0045498C">
              <w:rPr>
                <w:noProof/>
              </w:rPr>
              <w:fldChar w:fldCharType="separate"/>
            </w:r>
            <w:r w:rsidR="000278DC">
              <w:rPr>
                <w:noProof/>
              </w:rPr>
              <w:t>69</w:t>
            </w:r>
            <w:r w:rsidR="0045498C">
              <w:rPr>
                <w:noProof/>
              </w:rPr>
              <w:fldChar w:fldCharType="end"/>
            </w:r>
          </w:hyperlink>
        </w:p>
        <w:p w14:paraId="7775B5B1" w14:textId="77777777" w:rsidR="00501569" w:rsidRDefault="00000000">
          <w:pPr>
            <w:pStyle w:val="TOC2"/>
            <w:tabs>
              <w:tab w:val="right" w:leader="dot" w:pos="8306"/>
            </w:tabs>
            <w:rPr>
              <w:noProof/>
            </w:rPr>
          </w:pPr>
          <w:hyperlink w:anchor="_Toc29780" w:history="1">
            <w:r w:rsidR="00C74794">
              <w:rPr>
                <w:rFonts w:ascii="楷体_GB2312" w:eastAsia="楷体_GB2312" w:hAnsi="楷体_GB2312" w:cs="楷体_GB2312" w:hint="eastAsia"/>
                <w:noProof/>
                <w:szCs w:val="32"/>
              </w:rPr>
              <w:t>第四节 大力发展数字设施</w:t>
            </w:r>
            <w:r w:rsidR="00C74794">
              <w:rPr>
                <w:noProof/>
              </w:rPr>
              <w:tab/>
            </w:r>
            <w:r w:rsidR="0045498C">
              <w:rPr>
                <w:noProof/>
              </w:rPr>
              <w:fldChar w:fldCharType="begin"/>
            </w:r>
            <w:r w:rsidR="00C74794">
              <w:rPr>
                <w:noProof/>
              </w:rPr>
              <w:instrText xml:space="preserve"> PAGEREF _Toc29780 </w:instrText>
            </w:r>
            <w:r w:rsidR="0045498C">
              <w:rPr>
                <w:noProof/>
              </w:rPr>
              <w:fldChar w:fldCharType="separate"/>
            </w:r>
            <w:r w:rsidR="000278DC">
              <w:rPr>
                <w:noProof/>
              </w:rPr>
              <w:t>70</w:t>
            </w:r>
            <w:r w:rsidR="0045498C">
              <w:rPr>
                <w:noProof/>
              </w:rPr>
              <w:fldChar w:fldCharType="end"/>
            </w:r>
          </w:hyperlink>
        </w:p>
        <w:p w14:paraId="79C85117" w14:textId="77777777" w:rsidR="00501569" w:rsidRDefault="00000000">
          <w:pPr>
            <w:pStyle w:val="TOC1"/>
            <w:tabs>
              <w:tab w:val="right" w:leader="dot" w:pos="8306"/>
            </w:tabs>
            <w:rPr>
              <w:noProof/>
            </w:rPr>
          </w:pPr>
          <w:hyperlink w:anchor="_Toc6197" w:history="1">
            <w:r w:rsidR="00C74794">
              <w:rPr>
                <w:rFonts w:ascii="Tahoma" w:eastAsia="黑体" w:hAnsi="Tahoma" w:hint="eastAsia"/>
                <w:noProof/>
                <w:kern w:val="44"/>
                <w:szCs w:val="44"/>
              </w:rPr>
              <w:t>第九章</w:t>
            </w:r>
            <w:r w:rsidR="00C74794">
              <w:rPr>
                <w:rFonts w:ascii="Tahoma" w:eastAsia="黑体" w:hAnsi="Tahoma" w:hint="eastAsia"/>
                <w:noProof/>
                <w:kern w:val="44"/>
                <w:szCs w:val="44"/>
              </w:rPr>
              <w:t xml:space="preserve"> </w:t>
            </w:r>
            <w:r w:rsidR="00C74794">
              <w:rPr>
                <w:rFonts w:ascii="Tahoma" w:eastAsia="黑体" w:hAnsi="Tahoma" w:hint="eastAsia"/>
                <w:noProof/>
                <w:kern w:val="44"/>
                <w:szCs w:val="44"/>
              </w:rPr>
              <w:t>改革同城化发展机制，营造一流营商环境</w:t>
            </w:r>
            <w:r w:rsidR="00C74794">
              <w:rPr>
                <w:noProof/>
              </w:rPr>
              <w:tab/>
            </w:r>
            <w:r w:rsidR="0045498C">
              <w:rPr>
                <w:noProof/>
              </w:rPr>
              <w:fldChar w:fldCharType="begin"/>
            </w:r>
            <w:r w:rsidR="00C74794">
              <w:rPr>
                <w:noProof/>
              </w:rPr>
              <w:instrText xml:space="preserve"> PAGEREF _Toc6197 </w:instrText>
            </w:r>
            <w:r w:rsidR="0045498C">
              <w:rPr>
                <w:noProof/>
              </w:rPr>
              <w:fldChar w:fldCharType="separate"/>
            </w:r>
            <w:r w:rsidR="000278DC">
              <w:rPr>
                <w:noProof/>
              </w:rPr>
              <w:t>70</w:t>
            </w:r>
            <w:r w:rsidR="0045498C">
              <w:rPr>
                <w:noProof/>
              </w:rPr>
              <w:fldChar w:fldCharType="end"/>
            </w:r>
          </w:hyperlink>
        </w:p>
        <w:p w14:paraId="14DBE10F" w14:textId="77777777" w:rsidR="00501569" w:rsidRDefault="00000000">
          <w:pPr>
            <w:pStyle w:val="TOC2"/>
            <w:tabs>
              <w:tab w:val="right" w:leader="dot" w:pos="8306"/>
            </w:tabs>
            <w:rPr>
              <w:noProof/>
            </w:rPr>
          </w:pPr>
          <w:hyperlink w:anchor="_Toc15301" w:history="1">
            <w:r w:rsidR="00C74794">
              <w:rPr>
                <w:rFonts w:ascii="楷体_GB2312" w:eastAsia="楷体_GB2312" w:hAnsi="楷体_GB2312" w:cs="楷体_GB2312" w:hint="eastAsia"/>
                <w:noProof/>
                <w:szCs w:val="32"/>
              </w:rPr>
              <w:t>第一节 深化同城化发展新机制</w:t>
            </w:r>
            <w:r w:rsidR="00C74794">
              <w:rPr>
                <w:noProof/>
              </w:rPr>
              <w:tab/>
            </w:r>
            <w:r w:rsidR="0045498C">
              <w:rPr>
                <w:noProof/>
              </w:rPr>
              <w:fldChar w:fldCharType="begin"/>
            </w:r>
            <w:r w:rsidR="00C74794">
              <w:rPr>
                <w:noProof/>
              </w:rPr>
              <w:instrText xml:space="preserve"> PAGEREF _Toc15301 </w:instrText>
            </w:r>
            <w:r w:rsidR="0045498C">
              <w:rPr>
                <w:noProof/>
              </w:rPr>
              <w:fldChar w:fldCharType="separate"/>
            </w:r>
            <w:r w:rsidR="000278DC">
              <w:rPr>
                <w:noProof/>
              </w:rPr>
              <w:t>71</w:t>
            </w:r>
            <w:r w:rsidR="0045498C">
              <w:rPr>
                <w:noProof/>
              </w:rPr>
              <w:fldChar w:fldCharType="end"/>
            </w:r>
          </w:hyperlink>
        </w:p>
        <w:p w14:paraId="5255C01C" w14:textId="77777777" w:rsidR="00501569" w:rsidRDefault="00000000">
          <w:pPr>
            <w:pStyle w:val="TOC2"/>
            <w:tabs>
              <w:tab w:val="right" w:leader="dot" w:pos="8306"/>
            </w:tabs>
            <w:rPr>
              <w:noProof/>
            </w:rPr>
          </w:pPr>
          <w:hyperlink w:anchor="_Toc14829" w:history="1">
            <w:r w:rsidR="00C74794">
              <w:rPr>
                <w:rFonts w:ascii="楷体_GB2312" w:eastAsia="楷体_GB2312" w:hAnsi="楷体_GB2312" w:cs="楷体_GB2312" w:hint="eastAsia"/>
                <w:noProof/>
                <w:szCs w:val="32"/>
              </w:rPr>
              <w:t>第二节 打造市场化法治化国际化营商环境</w:t>
            </w:r>
            <w:r w:rsidR="00C74794">
              <w:rPr>
                <w:noProof/>
              </w:rPr>
              <w:tab/>
            </w:r>
            <w:r w:rsidR="0045498C">
              <w:rPr>
                <w:noProof/>
              </w:rPr>
              <w:fldChar w:fldCharType="begin"/>
            </w:r>
            <w:r w:rsidR="00C74794">
              <w:rPr>
                <w:noProof/>
              </w:rPr>
              <w:instrText xml:space="preserve"> PAGEREF _Toc14829 </w:instrText>
            </w:r>
            <w:r w:rsidR="0045498C">
              <w:rPr>
                <w:noProof/>
              </w:rPr>
              <w:fldChar w:fldCharType="separate"/>
            </w:r>
            <w:r w:rsidR="000278DC">
              <w:rPr>
                <w:noProof/>
              </w:rPr>
              <w:t>73</w:t>
            </w:r>
            <w:r w:rsidR="0045498C">
              <w:rPr>
                <w:noProof/>
              </w:rPr>
              <w:fldChar w:fldCharType="end"/>
            </w:r>
          </w:hyperlink>
        </w:p>
        <w:p w14:paraId="3EB7CCD6" w14:textId="77777777" w:rsidR="00501569" w:rsidRDefault="00000000">
          <w:pPr>
            <w:pStyle w:val="TOC2"/>
            <w:tabs>
              <w:tab w:val="right" w:leader="dot" w:pos="8306"/>
            </w:tabs>
            <w:rPr>
              <w:noProof/>
            </w:rPr>
          </w:pPr>
          <w:hyperlink w:anchor="_Toc413" w:history="1">
            <w:r w:rsidR="00C74794">
              <w:rPr>
                <w:rFonts w:ascii="楷体_GB2312" w:eastAsia="楷体_GB2312" w:hAnsi="楷体_GB2312" w:cs="楷体_GB2312" w:hint="eastAsia"/>
                <w:noProof/>
                <w:szCs w:val="32"/>
              </w:rPr>
              <w:t>第三节 提高行政运行效率</w:t>
            </w:r>
            <w:r w:rsidR="00C74794">
              <w:rPr>
                <w:noProof/>
              </w:rPr>
              <w:tab/>
            </w:r>
            <w:r w:rsidR="0045498C">
              <w:rPr>
                <w:noProof/>
              </w:rPr>
              <w:fldChar w:fldCharType="begin"/>
            </w:r>
            <w:r w:rsidR="00C74794">
              <w:rPr>
                <w:noProof/>
              </w:rPr>
              <w:instrText xml:space="preserve"> PAGEREF _Toc413 </w:instrText>
            </w:r>
            <w:r w:rsidR="0045498C">
              <w:rPr>
                <w:noProof/>
              </w:rPr>
              <w:fldChar w:fldCharType="separate"/>
            </w:r>
            <w:r w:rsidR="000278DC">
              <w:rPr>
                <w:noProof/>
              </w:rPr>
              <w:t>74</w:t>
            </w:r>
            <w:r w:rsidR="0045498C">
              <w:rPr>
                <w:noProof/>
              </w:rPr>
              <w:fldChar w:fldCharType="end"/>
            </w:r>
          </w:hyperlink>
        </w:p>
        <w:p w14:paraId="2C39FF57" w14:textId="77777777" w:rsidR="00501569" w:rsidRDefault="00000000">
          <w:pPr>
            <w:pStyle w:val="TOC1"/>
            <w:tabs>
              <w:tab w:val="right" w:leader="dot" w:pos="8306"/>
            </w:tabs>
            <w:rPr>
              <w:noProof/>
            </w:rPr>
          </w:pPr>
          <w:hyperlink w:anchor="_Toc11777" w:history="1">
            <w:r w:rsidR="00C74794">
              <w:rPr>
                <w:rFonts w:ascii="黑体" w:eastAsia="黑体" w:hAnsi="黑体" w:cs="黑体" w:hint="eastAsia"/>
                <w:noProof/>
                <w:w w:val="98"/>
                <w:szCs w:val="32"/>
              </w:rPr>
              <w:t>第十章 构建开放合作新格局，打造吉林</w:t>
            </w:r>
            <w:r w:rsidR="00C74794">
              <w:rPr>
                <w:rFonts w:ascii="黑体" w:eastAsia="黑体" w:hAnsi="黑体" w:cs="黑体"/>
                <w:noProof/>
                <w:w w:val="98"/>
                <w:szCs w:val="32"/>
              </w:rPr>
              <w:t>向南开放</w:t>
            </w:r>
            <w:r w:rsidR="00C74794">
              <w:rPr>
                <w:rFonts w:ascii="黑体" w:eastAsia="黑体" w:hAnsi="黑体" w:cs="黑体" w:hint="eastAsia"/>
                <w:noProof/>
                <w:w w:val="98"/>
                <w:szCs w:val="32"/>
              </w:rPr>
              <w:t>重要门户</w:t>
            </w:r>
            <w:r w:rsidR="00C74794">
              <w:rPr>
                <w:noProof/>
              </w:rPr>
              <w:tab/>
            </w:r>
            <w:r w:rsidR="0045498C">
              <w:rPr>
                <w:noProof/>
              </w:rPr>
              <w:fldChar w:fldCharType="begin"/>
            </w:r>
            <w:r w:rsidR="00C74794">
              <w:rPr>
                <w:noProof/>
              </w:rPr>
              <w:instrText xml:space="preserve"> PAGEREF _Toc11777 </w:instrText>
            </w:r>
            <w:r w:rsidR="0045498C">
              <w:rPr>
                <w:noProof/>
              </w:rPr>
              <w:fldChar w:fldCharType="separate"/>
            </w:r>
            <w:r w:rsidR="000278DC">
              <w:rPr>
                <w:noProof/>
              </w:rPr>
              <w:t>76</w:t>
            </w:r>
            <w:r w:rsidR="0045498C">
              <w:rPr>
                <w:noProof/>
              </w:rPr>
              <w:fldChar w:fldCharType="end"/>
            </w:r>
          </w:hyperlink>
        </w:p>
        <w:p w14:paraId="48057F07" w14:textId="77777777" w:rsidR="00501569" w:rsidRDefault="00000000">
          <w:pPr>
            <w:pStyle w:val="TOC2"/>
            <w:tabs>
              <w:tab w:val="right" w:leader="dot" w:pos="8306"/>
            </w:tabs>
            <w:rPr>
              <w:noProof/>
            </w:rPr>
          </w:pPr>
          <w:hyperlink w:anchor="_Toc174" w:history="1">
            <w:r w:rsidR="00C74794">
              <w:rPr>
                <w:rFonts w:ascii="楷体_GB2312" w:hAnsi="楷体_GB2312" w:cs="楷体_GB2312" w:hint="eastAsia"/>
                <w:noProof/>
              </w:rPr>
              <w:t>第一节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加快融入国内国际新发展格局</w:t>
            </w:r>
            <w:r w:rsidR="00C74794">
              <w:rPr>
                <w:noProof/>
              </w:rPr>
              <w:tab/>
            </w:r>
            <w:r w:rsidR="0045498C">
              <w:rPr>
                <w:noProof/>
              </w:rPr>
              <w:fldChar w:fldCharType="begin"/>
            </w:r>
            <w:r w:rsidR="00C74794">
              <w:rPr>
                <w:noProof/>
              </w:rPr>
              <w:instrText xml:space="preserve"> PAGEREF _Toc174 </w:instrText>
            </w:r>
            <w:r w:rsidR="0045498C">
              <w:rPr>
                <w:noProof/>
              </w:rPr>
              <w:fldChar w:fldCharType="separate"/>
            </w:r>
            <w:r w:rsidR="000278DC">
              <w:rPr>
                <w:noProof/>
              </w:rPr>
              <w:t>76</w:t>
            </w:r>
            <w:r w:rsidR="0045498C">
              <w:rPr>
                <w:noProof/>
              </w:rPr>
              <w:fldChar w:fldCharType="end"/>
            </w:r>
          </w:hyperlink>
        </w:p>
        <w:p w14:paraId="15E701E4" w14:textId="77777777" w:rsidR="00501569" w:rsidRDefault="00000000">
          <w:pPr>
            <w:pStyle w:val="TOC2"/>
            <w:tabs>
              <w:tab w:val="right" w:leader="dot" w:pos="8306"/>
            </w:tabs>
            <w:rPr>
              <w:noProof/>
            </w:rPr>
          </w:pPr>
          <w:hyperlink w:anchor="_Toc6799" w:history="1">
            <w:r w:rsidR="00C74794">
              <w:rPr>
                <w:rFonts w:ascii="楷体_GB2312" w:hAnsi="楷体_GB2312" w:cs="楷体_GB2312" w:hint="eastAsia"/>
                <w:noProof/>
              </w:rPr>
              <w:t>第二节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升级开发开放合作平台</w:t>
            </w:r>
            <w:r w:rsidR="00C74794">
              <w:rPr>
                <w:noProof/>
              </w:rPr>
              <w:tab/>
            </w:r>
            <w:r w:rsidR="0045498C">
              <w:rPr>
                <w:noProof/>
              </w:rPr>
              <w:fldChar w:fldCharType="begin"/>
            </w:r>
            <w:r w:rsidR="00C74794">
              <w:rPr>
                <w:noProof/>
              </w:rPr>
              <w:instrText xml:space="preserve"> PAGEREF _Toc6799 </w:instrText>
            </w:r>
            <w:r w:rsidR="0045498C">
              <w:rPr>
                <w:noProof/>
              </w:rPr>
              <w:fldChar w:fldCharType="separate"/>
            </w:r>
            <w:r w:rsidR="000278DC">
              <w:rPr>
                <w:noProof/>
              </w:rPr>
              <w:t>77</w:t>
            </w:r>
            <w:r w:rsidR="0045498C">
              <w:rPr>
                <w:noProof/>
              </w:rPr>
              <w:fldChar w:fldCharType="end"/>
            </w:r>
          </w:hyperlink>
        </w:p>
        <w:p w14:paraId="5A405334" w14:textId="77777777" w:rsidR="00501569" w:rsidRDefault="00000000">
          <w:pPr>
            <w:pStyle w:val="TOC2"/>
            <w:tabs>
              <w:tab w:val="right" w:leader="dot" w:pos="8306"/>
            </w:tabs>
            <w:rPr>
              <w:noProof/>
            </w:rPr>
          </w:pPr>
          <w:hyperlink w:anchor="_Toc2783" w:history="1">
            <w:r w:rsidR="00C74794">
              <w:rPr>
                <w:rFonts w:ascii="楷体_GB2312" w:hAnsi="楷体_GB2312" w:cs="楷体_GB2312" w:hint="eastAsia"/>
                <w:noProof/>
              </w:rPr>
              <w:t>第三节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实施多渠道多方式精准招商</w:t>
            </w:r>
            <w:r w:rsidR="00C74794">
              <w:rPr>
                <w:noProof/>
              </w:rPr>
              <w:tab/>
            </w:r>
            <w:r w:rsidR="0045498C">
              <w:rPr>
                <w:noProof/>
              </w:rPr>
              <w:fldChar w:fldCharType="begin"/>
            </w:r>
            <w:r w:rsidR="00C74794">
              <w:rPr>
                <w:noProof/>
              </w:rPr>
              <w:instrText xml:space="preserve"> PAGEREF _Toc2783 </w:instrText>
            </w:r>
            <w:r w:rsidR="0045498C">
              <w:rPr>
                <w:noProof/>
              </w:rPr>
              <w:fldChar w:fldCharType="separate"/>
            </w:r>
            <w:r w:rsidR="000278DC">
              <w:rPr>
                <w:noProof/>
              </w:rPr>
              <w:t>78</w:t>
            </w:r>
            <w:r w:rsidR="0045498C">
              <w:rPr>
                <w:noProof/>
              </w:rPr>
              <w:fldChar w:fldCharType="end"/>
            </w:r>
          </w:hyperlink>
        </w:p>
        <w:p w14:paraId="70C4E7C0" w14:textId="77777777" w:rsidR="00501569" w:rsidRDefault="00000000">
          <w:pPr>
            <w:pStyle w:val="TOC2"/>
            <w:tabs>
              <w:tab w:val="right" w:leader="dot" w:pos="8306"/>
            </w:tabs>
            <w:rPr>
              <w:noProof/>
            </w:rPr>
          </w:pPr>
          <w:hyperlink w:anchor="_Toc25859" w:history="1">
            <w:r w:rsidR="00C74794">
              <w:rPr>
                <w:rFonts w:ascii="楷体_GB2312" w:hAnsi="楷体_GB2312" w:cs="楷体_GB2312" w:hint="eastAsia"/>
                <w:noProof/>
              </w:rPr>
              <w:t>第四节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培育发展开放型示范企业</w:t>
            </w:r>
            <w:r w:rsidR="00C74794">
              <w:rPr>
                <w:noProof/>
              </w:rPr>
              <w:tab/>
            </w:r>
            <w:r w:rsidR="0045498C">
              <w:rPr>
                <w:noProof/>
              </w:rPr>
              <w:fldChar w:fldCharType="begin"/>
            </w:r>
            <w:r w:rsidR="00C74794">
              <w:rPr>
                <w:noProof/>
              </w:rPr>
              <w:instrText xml:space="preserve"> PAGEREF _Toc25859 </w:instrText>
            </w:r>
            <w:r w:rsidR="0045498C">
              <w:rPr>
                <w:noProof/>
              </w:rPr>
              <w:fldChar w:fldCharType="separate"/>
            </w:r>
            <w:r w:rsidR="000278DC">
              <w:rPr>
                <w:noProof/>
              </w:rPr>
              <w:t>79</w:t>
            </w:r>
            <w:r w:rsidR="0045498C">
              <w:rPr>
                <w:noProof/>
              </w:rPr>
              <w:fldChar w:fldCharType="end"/>
            </w:r>
          </w:hyperlink>
        </w:p>
        <w:p w14:paraId="4CFBA63D" w14:textId="77777777" w:rsidR="00501569" w:rsidRDefault="00000000">
          <w:pPr>
            <w:pStyle w:val="TOC1"/>
            <w:tabs>
              <w:tab w:val="right" w:leader="dot" w:pos="8306"/>
            </w:tabs>
            <w:rPr>
              <w:noProof/>
            </w:rPr>
          </w:pPr>
          <w:hyperlink w:anchor="_Toc26256" w:history="1">
            <w:r w:rsidR="00C74794">
              <w:rPr>
                <w:rFonts w:ascii="黑体" w:eastAsia="黑体" w:hAnsi="黑体" w:cs="黑体" w:hint="eastAsia"/>
                <w:noProof/>
                <w:szCs w:val="32"/>
              </w:rPr>
              <w:t>第十一章 推进绿色发展，建设美丽新岭城</w:t>
            </w:r>
            <w:r w:rsidR="00C74794">
              <w:rPr>
                <w:noProof/>
              </w:rPr>
              <w:tab/>
            </w:r>
            <w:r w:rsidR="0045498C">
              <w:rPr>
                <w:noProof/>
              </w:rPr>
              <w:fldChar w:fldCharType="begin"/>
            </w:r>
            <w:r w:rsidR="00C74794">
              <w:rPr>
                <w:noProof/>
              </w:rPr>
              <w:instrText xml:space="preserve"> PAGEREF _Toc26256 </w:instrText>
            </w:r>
            <w:r w:rsidR="0045498C">
              <w:rPr>
                <w:noProof/>
              </w:rPr>
              <w:fldChar w:fldCharType="separate"/>
            </w:r>
            <w:r w:rsidR="000278DC">
              <w:rPr>
                <w:noProof/>
              </w:rPr>
              <w:t>80</w:t>
            </w:r>
            <w:r w:rsidR="0045498C">
              <w:rPr>
                <w:noProof/>
              </w:rPr>
              <w:fldChar w:fldCharType="end"/>
            </w:r>
          </w:hyperlink>
        </w:p>
        <w:p w14:paraId="6D2544CE" w14:textId="77777777" w:rsidR="00501569" w:rsidRDefault="00000000">
          <w:pPr>
            <w:pStyle w:val="TOC2"/>
            <w:tabs>
              <w:tab w:val="right" w:leader="dot" w:pos="8306"/>
            </w:tabs>
            <w:rPr>
              <w:noProof/>
            </w:rPr>
          </w:pPr>
          <w:hyperlink w:anchor="_Toc15982" w:history="1">
            <w:r w:rsidR="00C74794">
              <w:rPr>
                <w:rFonts w:ascii="楷体_GB2312" w:hAnsi="楷体_GB2312" w:cs="楷体_GB2312" w:hint="eastAsia"/>
                <w:noProof/>
              </w:rPr>
              <w:t>第一节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加强重点区域生态保护</w:t>
            </w:r>
            <w:r w:rsidR="00C74794">
              <w:rPr>
                <w:noProof/>
              </w:rPr>
              <w:tab/>
            </w:r>
            <w:r w:rsidR="0045498C">
              <w:rPr>
                <w:noProof/>
              </w:rPr>
              <w:fldChar w:fldCharType="begin"/>
            </w:r>
            <w:r w:rsidR="00C74794">
              <w:rPr>
                <w:noProof/>
              </w:rPr>
              <w:instrText xml:space="preserve"> PAGEREF _Toc15982 </w:instrText>
            </w:r>
            <w:r w:rsidR="0045498C">
              <w:rPr>
                <w:noProof/>
              </w:rPr>
              <w:fldChar w:fldCharType="separate"/>
            </w:r>
            <w:r w:rsidR="000278DC">
              <w:rPr>
                <w:noProof/>
              </w:rPr>
              <w:t>80</w:t>
            </w:r>
            <w:r w:rsidR="0045498C">
              <w:rPr>
                <w:noProof/>
              </w:rPr>
              <w:fldChar w:fldCharType="end"/>
            </w:r>
          </w:hyperlink>
        </w:p>
        <w:p w14:paraId="49CD7A16" w14:textId="77777777" w:rsidR="00501569" w:rsidRDefault="00000000">
          <w:pPr>
            <w:pStyle w:val="TOC2"/>
            <w:tabs>
              <w:tab w:val="right" w:leader="dot" w:pos="8306"/>
            </w:tabs>
            <w:rPr>
              <w:noProof/>
            </w:rPr>
          </w:pPr>
          <w:hyperlink w:anchor="_Toc15344" w:history="1">
            <w:r w:rsidR="00C74794">
              <w:rPr>
                <w:rFonts w:ascii="楷体_GB2312" w:hAnsi="楷体_GB2312" w:cs="楷体_GB2312" w:hint="eastAsia"/>
                <w:noProof/>
              </w:rPr>
              <w:t>第二节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打好环境改善攻坚战</w:t>
            </w:r>
            <w:r w:rsidR="00C74794">
              <w:rPr>
                <w:noProof/>
              </w:rPr>
              <w:tab/>
            </w:r>
            <w:r w:rsidR="0045498C">
              <w:rPr>
                <w:noProof/>
              </w:rPr>
              <w:fldChar w:fldCharType="begin"/>
            </w:r>
            <w:r w:rsidR="00C74794">
              <w:rPr>
                <w:noProof/>
              </w:rPr>
              <w:instrText xml:space="preserve"> PAGEREF _Toc15344 </w:instrText>
            </w:r>
            <w:r w:rsidR="0045498C">
              <w:rPr>
                <w:noProof/>
              </w:rPr>
              <w:fldChar w:fldCharType="separate"/>
            </w:r>
            <w:r w:rsidR="000278DC">
              <w:rPr>
                <w:noProof/>
              </w:rPr>
              <w:t>82</w:t>
            </w:r>
            <w:r w:rsidR="0045498C">
              <w:rPr>
                <w:noProof/>
              </w:rPr>
              <w:fldChar w:fldCharType="end"/>
            </w:r>
          </w:hyperlink>
        </w:p>
        <w:p w14:paraId="6AD18385" w14:textId="77777777" w:rsidR="00501569" w:rsidRDefault="00000000">
          <w:pPr>
            <w:pStyle w:val="TOC2"/>
            <w:tabs>
              <w:tab w:val="right" w:leader="dot" w:pos="8306"/>
            </w:tabs>
            <w:rPr>
              <w:noProof/>
            </w:rPr>
          </w:pPr>
          <w:hyperlink w:anchor="_Toc9224" w:history="1">
            <w:r w:rsidR="00C74794">
              <w:rPr>
                <w:rFonts w:ascii="楷体_GB2312" w:hAnsi="楷体_GB2312" w:cs="楷体_GB2312" w:hint="eastAsia"/>
                <w:noProof/>
              </w:rPr>
              <w:t>第三节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提高资源能源利用效率</w:t>
            </w:r>
            <w:r w:rsidR="00C74794">
              <w:rPr>
                <w:noProof/>
              </w:rPr>
              <w:tab/>
            </w:r>
            <w:r w:rsidR="0045498C">
              <w:rPr>
                <w:noProof/>
              </w:rPr>
              <w:fldChar w:fldCharType="begin"/>
            </w:r>
            <w:r w:rsidR="00C74794">
              <w:rPr>
                <w:noProof/>
              </w:rPr>
              <w:instrText xml:space="preserve"> PAGEREF _Toc9224 </w:instrText>
            </w:r>
            <w:r w:rsidR="0045498C">
              <w:rPr>
                <w:noProof/>
              </w:rPr>
              <w:fldChar w:fldCharType="separate"/>
            </w:r>
            <w:r w:rsidR="000278DC">
              <w:rPr>
                <w:noProof/>
              </w:rPr>
              <w:t>84</w:t>
            </w:r>
            <w:r w:rsidR="0045498C">
              <w:rPr>
                <w:noProof/>
              </w:rPr>
              <w:fldChar w:fldCharType="end"/>
            </w:r>
          </w:hyperlink>
        </w:p>
        <w:p w14:paraId="02AF63E1" w14:textId="77777777" w:rsidR="00501569" w:rsidRDefault="00000000">
          <w:pPr>
            <w:pStyle w:val="TOC2"/>
            <w:tabs>
              <w:tab w:val="right" w:leader="dot" w:pos="8306"/>
            </w:tabs>
            <w:rPr>
              <w:noProof/>
            </w:rPr>
          </w:pPr>
          <w:hyperlink w:anchor="_Toc14869" w:history="1">
            <w:r w:rsidR="00C74794">
              <w:rPr>
                <w:rFonts w:ascii="楷体_GB2312" w:hAnsi="楷体_GB2312" w:cs="楷体_GB2312" w:hint="eastAsia"/>
                <w:noProof/>
              </w:rPr>
              <w:t>第四节</w:t>
            </w:r>
            <w:r w:rsidR="00C74794">
              <w:rPr>
                <w:rFonts w:ascii="楷体_GB2312" w:hAnsi="楷体_GB2312" w:cs="楷体_GB2312" w:hint="eastAsia"/>
                <w:noProof/>
              </w:rPr>
              <w:t xml:space="preserve"> </w:t>
            </w:r>
            <w:r w:rsidR="00C74794">
              <w:rPr>
                <w:rFonts w:ascii="楷体_GB2312" w:eastAsia="楷体_GB2312" w:hAnsi="楷体_GB2312" w:cs="楷体_GB2312" w:hint="eastAsia"/>
                <w:noProof/>
              </w:rPr>
              <w:t>构建生态文明体系</w:t>
            </w:r>
            <w:r w:rsidR="00C74794">
              <w:rPr>
                <w:noProof/>
              </w:rPr>
              <w:tab/>
            </w:r>
            <w:r w:rsidR="0045498C">
              <w:rPr>
                <w:noProof/>
              </w:rPr>
              <w:fldChar w:fldCharType="begin"/>
            </w:r>
            <w:r w:rsidR="00C74794">
              <w:rPr>
                <w:noProof/>
              </w:rPr>
              <w:instrText xml:space="preserve"> PAGEREF _Toc14869 </w:instrText>
            </w:r>
            <w:r w:rsidR="0045498C">
              <w:rPr>
                <w:noProof/>
              </w:rPr>
              <w:fldChar w:fldCharType="separate"/>
            </w:r>
            <w:r w:rsidR="000278DC">
              <w:rPr>
                <w:noProof/>
              </w:rPr>
              <w:t>85</w:t>
            </w:r>
            <w:r w:rsidR="0045498C">
              <w:rPr>
                <w:noProof/>
              </w:rPr>
              <w:fldChar w:fldCharType="end"/>
            </w:r>
          </w:hyperlink>
        </w:p>
        <w:p w14:paraId="1D976B35" w14:textId="77777777" w:rsidR="00501569" w:rsidRDefault="00000000">
          <w:pPr>
            <w:pStyle w:val="TOC1"/>
            <w:tabs>
              <w:tab w:val="right" w:leader="dot" w:pos="8306"/>
            </w:tabs>
            <w:rPr>
              <w:noProof/>
            </w:rPr>
          </w:pPr>
          <w:hyperlink w:anchor="_Toc31838" w:history="1">
            <w:r w:rsidR="00C74794">
              <w:rPr>
                <w:rFonts w:ascii="黑体" w:eastAsia="黑体" w:hAnsi="黑体" w:cs="黑体" w:hint="eastAsia"/>
                <w:noProof/>
                <w:szCs w:val="32"/>
              </w:rPr>
              <w:t>第十二章 补齐民生领域短板，共享振兴发展成果</w:t>
            </w:r>
            <w:r w:rsidR="00C74794">
              <w:rPr>
                <w:noProof/>
              </w:rPr>
              <w:tab/>
            </w:r>
            <w:r w:rsidR="0045498C">
              <w:rPr>
                <w:noProof/>
              </w:rPr>
              <w:fldChar w:fldCharType="begin"/>
            </w:r>
            <w:r w:rsidR="00C74794">
              <w:rPr>
                <w:noProof/>
              </w:rPr>
              <w:instrText xml:space="preserve"> PAGEREF _Toc31838 </w:instrText>
            </w:r>
            <w:r w:rsidR="0045498C">
              <w:rPr>
                <w:noProof/>
              </w:rPr>
              <w:fldChar w:fldCharType="separate"/>
            </w:r>
            <w:r w:rsidR="000278DC">
              <w:rPr>
                <w:noProof/>
              </w:rPr>
              <w:t>86</w:t>
            </w:r>
            <w:r w:rsidR="0045498C">
              <w:rPr>
                <w:noProof/>
              </w:rPr>
              <w:fldChar w:fldCharType="end"/>
            </w:r>
          </w:hyperlink>
        </w:p>
        <w:p w14:paraId="54F89A22" w14:textId="77777777" w:rsidR="00501569" w:rsidRDefault="00000000">
          <w:pPr>
            <w:pStyle w:val="TOC2"/>
            <w:tabs>
              <w:tab w:val="right" w:leader="dot" w:pos="8306"/>
            </w:tabs>
            <w:rPr>
              <w:noProof/>
            </w:rPr>
          </w:pPr>
          <w:hyperlink w:anchor="_Toc6625" w:history="1">
            <w:r w:rsidR="00C74794">
              <w:rPr>
                <w:rFonts w:ascii="楷体_GB2312" w:eastAsia="楷体_GB2312" w:hAnsi="楷体_GB2312" w:cs="楷体_GB2312" w:hint="eastAsia"/>
                <w:noProof/>
                <w:szCs w:val="32"/>
              </w:rPr>
              <w:t>第一节 实施就业优先战略</w:t>
            </w:r>
            <w:r w:rsidR="00C74794">
              <w:rPr>
                <w:noProof/>
              </w:rPr>
              <w:tab/>
            </w:r>
            <w:r w:rsidR="0045498C">
              <w:rPr>
                <w:noProof/>
              </w:rPr>
              <w:fldChar w:fldCharType="begin"/>
            </w:r>
            <w:r w:rsidR="00C74794">
              <w:rPr>
                <w:noProof/>
              </w:rPr>
              <w:instrText xml:space="preserve"> PAGEREF _Toc6625 </w:instrText>
            </w:r>
            <w:r w:rsidR="0045498C">
              <w:rPr>
                <w:noProof/>
              </w:rPr>
              <w:fldChar w:fldCharType="separate"/>
            </w:r>
            <w:r w:rsidR="000278DC">
              <w:rPr>
                <w:noProof/>
              </w:rPr>
              <w:t>86</w:t>
            </w:r>
            <w:r w:rsidR="0045498C">
              <w:rPr>
                <w:noProof/>
              </w:rPr>
              <w:fldChar w:fldCharType="end"/>
            </w:r>
          </w:hyperlink>
        </w:p>
        <w:p w14:paraId="603DFEF0" w14:textId="77777777" w:rsidR="00501569" w:rsidRDefault="00000000">
          <w:pPr>
            <w:pStyle w:val="TOC2"/>
            <w:tabs>
              <w:tab w:val="right" w:leader="dot" w:pos="8306"/>
            </w:tabs>
            <w:rPr>
              <w:noProof/>
            </w:rPr>
          </w:pPr>
          <w:hyperlink w:anchor="_Toc32559" w:history="1">
            <w:r w:rsidR="00C74794">
              <w:rPr>
                <w:rFonts w:ascii="楷体_GB2312" w:eastAsia="楷体_GB2312" w:hAnsi="楷体_GB2312" w:cs="楷体_GB2312" w:hint="eastAsia"/>
                <w:noProof/>
                <w:szCs w:val="32"/>
              </w:rPr>
              <w:t>第二节 提升社会保障能力</w:t>
            </w:r>
            <w:r w:rsidR="00C74794">
              <w:rPr>
                <w:noProof/>
              </w:rPr>
              <w:tab/>
            </w:r>
            <w:r w:rsidR="0045498C">
              <w:rPr>
                <w:noProof/>
              </w:rPr>
              <w:fldChar w:fldCharType="begin"/>
            </w:r>
            <w:r w:rsidR="00C74794">
              <w:rPr>
                <w:noProof/>
              </w:rPr>
              <w:instrText xml:space="preserve"> PAGEREF _Toc32559 </w:instrText>
            </w:r>
            <w:r w:rsidR="0045498C">
              <w:rPr>
                <w:noProof/>
              </w:rPr>
              <w:fldChar w:fldCharType="separate"/>
            </w:r>
            <w:r w:rsidR="000278DC">
              <w:rPr>
                <w:noProof/>
              </w:rPr>
              <w:t>87</w:t>
            </w:r>
            <w:r w:rsidR="0045498C">
              <w:rPr>
                <w:noProof/>
              </w:rPr>
              <w:fldChar w:fldCharType="end"/>
            </w:r>
          </w:hyperlink>
        </w:p>
        <w:p w14:paraId="456A2F4E" w14:textId="77777777" w:rsidR="00501569" w:rsidRDefault="00000000">
          <w:pPr>
            <w:pStyle w:val="TOC2"/>
            <w:tabs>
              <w:tab w:val="right" w:leader="dot" w:pos="8306"/>
            </w:tabs>
            <w:rPr>
              <w:noProof/>
            </w:rPr>
          </w:pPr>
          <w:hyperlink w:anchor="_Toc5362" w:history="1">
            <w:r w:rsidR="00C74794">
              <w:rPr>
                <w:rFonts w:ascii="楷体_GB2312" w:eastAsia="楷体_GB2312" w:hAnsi="楷体_GB2312" w:cs="楷体_GB2312" w:hint="eastAsia"/>
                <w:noProof/>
                <w:szCs w:val="32"/>
              </w:rPr>
              <w:t>第三节 完善医疗健康和公共卫生体系</w:t>
            </w:r>
            <w:r w:rsidR="00C74794">
              <w:rPr>
                <w:noProof/>
              </w:rPr>
              <w:tab/>
            </w:r>
            <w:r w:rsidR="0045498C">
              <w:rPr>
                <w:noProof/>
              </w:rPr>
              <w:fldChar w:fldCharType="begin"/>
            </w:r>
            <w:r w:rsidR="00C74794">
              <w:rPr>
                <w:noProof/>
              </w:rPr>
              <w:instrText xml:space="preserve"> PAGEREF _Toc5362 </w:instrText>
            </w:r>
            <w:r w:rsidR="0045498C">
              <w:rPr>
                <w:noProof/>
              </w:rPr>
              <w:fldChar w:fldCharType="separate"/>
            </w:r>
            <w:r w:rsidR="000278DC">
              <w:rPr>
                <w:noProof/>
              </w:rPr>
              <w:t>88</w:t>
            </w:r>
            <w:r w:rsidR="0045498C">
              <w:rPr>
                <w:noProof/>
              </w:rPr>
              <w:fldChar w:fldCharType="end"/>
            </w:r>
          </w:hyperlink>
        </w:p>
        <w:p w14:paraId="15A58F51" w14:textId="77777777" w:rsidR="00501569" w:rsidRDefault="00000000">
          <w:pPr>
            <w:pStyle w:val="TOC2"/>
            <w:tabs>
              <w:tab w:val="right" w:leader="dot" w:pos="8306"/>
            </w:tabs>
            <w:rPr>
              <w:noProof/>
            </w:rPr>
          </w:pPr>
          <w:hyperlink w:anchor="_Toc17681" w:history="1">
            <w:r w:rsidR="00C74794">
              <w:rPr>
                <w:rFonts w:ascii="楷体_GB2312" w:eastAsia="楷体_GB2312" w:hAnsi="楷体_GB2312" w:cs="楷体_GB2312" w:hint="eastAsia"/>
                <w:noProof/>
                <w:szCs w:val="32"/>
              </w:rPr>
              <w:t>第四节 积极应对人口老龄化</w:t>
            </w:r>
            <w:r w:rsidR="00C74794">
              <w:rPr>
                <w:noProof/>
              </w:rPr>
              <w:tab/>
            </w:r>
            <w:r w:rsidR="0045498C">
              <w:rPr>
                <w:noProof/>
              </w:rPr>
              <w:fldChar w:fldCharType="begin"/>
            </w:r>
            <w:r w:rsidR="00C74794">
              <w:rPr>
                <w:noProof/>
              </w:rPr>
              <w:instrText xml:space="preserve"> PAGEREF _Toc17681 </w:instrText>
            </w:r>
            <w:r w:rsidR="0045498C">
              <w:rPr>
                <w:noProof/>
              </w:rPr>
              <w:fldChar w:fldCharType="separate"/>
            </w:r>
            <w:r w:rsidR="000278DC">
              <w:rPr>
                <w:noProof/>
              </w:rPr>
              <w:t>89</w:t>
            </w:r>
            <w:r w:rsidR="0045498C">
              <w:rPr>
                <w:noProof/>
              </w:rPr>
              <w:fldChar w:fldCharType="end"/>
            </w:r>
          </w:hyperlink>
        </w:p>
        <w:p w14:paraId="0B77D0F3" w14:textId="77777777" w:rsidR="00501569" w:rsidRDefault="00000000">
          <w:pPr>
            <w:pStyle w:val="TOC2"/>
            <w:tabs>
              <w:tab w:val="right" w:leader="dot" w:pos="8306"/>
            </w:tabs>
            <w:rPr>
              <w:noProof/>
            </w:rPr>
          </w:pPr>
          <w:hyperlink w:anchor="_Toc22832" w:history="1">
            <w:r w:rsidR="00C74794">
              <w:rPr>
                <w:rFonts w:ascii="楷体_GB2312" w:eastAsia="楷体_GB2312" w:hAnsi="楷体_GB2312" w:cs="楷体_GB2312" w:hint="eastAsia"/>
                <w:noProof/>
                <w:szCs w:val="32"/>
              </w:rPr>
              <w:t>第五节 推进教育现代化</w:t>
            </w:r>
            <w:r w:rsidR="00C74794">
              <w:rPr>
                <w:noProof/>
              </w:rPr>
              <w:tab/>
            </w:r>
            <w:r w:rsidR="0045498C">
              <w:rPr>
                <w:noProof/>
              </w:rPr>
              <w:fldChar w:fldCharType="begin"/>
            </w:r>
            <w:r w:rsidR="00C74794">
              <w:rPr>
                <w:noProof/>
              </w:rPr>
              <w:instrText xml:space="preserve"> PAGEREF _Toc22832 </w:instrText>
            </w:r>
            <w:r w:rsidR="0045498C">
              <w:rPr>
                <w:noProof/>
              </w:rPr>
              <w:fldChar w:fldCharType="separate"/>
            </w:r>
            <w:r w:rsidR="000278DC">
              <w:rPr>
                <w:noProof/>
              </w:rPr>
              <w:t>90</w:t>
            </w:r>
            <w:r w:rsidR="0045498C">
              <w:rPr>
                <w:noProof/>
              </w:rPr>
              <w:fldChar w:fldCharType="end"/>
            </w:r>
          </w:hyperlink>
        </w:p>
        <w:p w14:paraId="0E97A870" w14:textId="77777777" w:rsidR="00501569" w:rsidRDefault="00000000">
          <w:pPr>
            <w:pStyle w:val="TOC2"/>
            <w:tabs>
              <w:tab w:val="right" w:leader="dot" w:pos="8306"/>
            </w:tabs>
            <w:rPr>
              <w:noProof/>
            </w:rPr>
          </w:pPr>
          <w:hyperlink w:anchor="_Toc1356" w:history="1">
            <w:r w:rsidR="00C74794">
              <w:rPr>
                <w:rFonts w:ascii="楷体_GB2312" w:eastAsia="楷体_GB2312" w:hAnsi="楷体_GB2312" w:cs="楷体_GB2312" w:hint="eastAsia"/>
                <w:noProof/>
                <w:szCs w:val="32"/>
              </w:rPr>
              <w:t>第六节 推进体育事业发展</w:t>
            </w:r>
            <w:r w:rsidR="00C74794">
              <w:rPr>
                <w:noProof/>
              </w:rPr>
              <w:tab/>
            </w:r>
            <w:r w:rsidR="0045498C">
              <w:rPr>
                <w:noProof/>
              </w:rPr>
              <w:fldChar w:fldCharType="begin"/>
            </w:r>
            <w:r w:rsidR="00C74794">
              <w:rPr>
                <w:noProof/>
              </w:rPr>
              <w:instrText xml:space="preserve"> PAGEREF _Toc1356 </w:instrText>
            </w:r>
            <w:r w:rsidR="0045498C">
              <w:rPr>
                <w:noProof/>
              </w:rPr>
              <w:fldChar w:fldCharType="separate"/>
            </w:r>
            <w:r w:rsidR="000278DC">
              <w:rPr>
                <w:noProof/>
              </w:rPr>
              <w:t>91</w:t>
            </w:r>
            <w:r w:rsidR="0045498C">
              <w:rPr>
                <w:noProof/>
              </w:rPr>
              <w:fldChar w:fldCharType="end"/>
            </w:r>
          </w:hyperlink>
        </w:p>
        <w:p w14:paraId="6B257FF7" w14:textId="77777777" w:rsidR="00501569" w:rsidRDefault="00000000">
          <w:pPr>
            <w:pStyle w:val="TOC1"/>
            <w:tabs>
              <w:tab w:val="right" w:leader="dot" w:pos="8306"/>
            </w:tabs>
            <w:rPr>
              <w:noProof/>
            </w:rPr>
          </w:pPr>
          <w:hyperlink w:anchor="_Toc1468" w:history="1">
            <w:r w:rsidR="00C74794">
              <w:rPr>
                <w:rFonts w:ascii="黑体" w:eastAsia="黑体" w:hAnsi="黑体" w:hint="eastAsia"/>
                <w:noProof/>
                <w:szCs w:val="32"/>
              </w:rPr>
              <w:t>第十三章 统筹发展和安全，建设高水平平安公主岭</w:t>
            </w:r>
            <w:r w:rsidR="00C74794">
              <w:rPr>
                <w:noProof/>
              </w:rPr>
              <w:tab/>
            </w:r>
            <w:r w:rsidR="0045498C">
              <w:rPr>
                <w:noProof/>
              </w:rPr>
              <w:fldChar w:fldCharType="begin"/>
            </w:r>
            <w:r w:rsidR="00C74794">
              <w:rPr>
                <w:noProof/>
              </w:rPr>
              <w:instrText xml:space="preserve"> PAGEREF _Toc1468 </w:instrText>
            </w:r>
            <w:r w:rsidR="0045498C">
              <w:rPr>
                <w:noProof/>
              </w:rPr>
              <w:fldChar w:fldCharType="separate"/>
            </w:r>
            <w:r w:rsidR="000278DC">
              <w:rPr>
                <w:noProof/>
              </w:rPr>
              <w:t>92</w:t>
            </w:r>
            <w:r w:rsidR="0045498C">
              <w:rPr>
                <w:noProof/>
              </w:rPr>
              <w:fldChar w:fldCharType="end"/>
            </w:r>
          </w:hyperlink>
        </w:p>
        <w:p w14:paraId="18AB182D" w14:textId="77777777" w:rsidR="00501569" w:rsidRDefault="00000000">
          <w:pPr>
            <w:pStyle w:val="TOC2"/>
            <w:tabs>
              <w:tab w:val="right" w:leader="dot" w:pos="8306"/>
            </w:tabs>
            <w:rPr>
              <w:noProof/>
            </w:rPr>
          </w:pPr>
          <w:hyperlink w:anchor="_Toc31637" w:history="1">
            <w:r w:rsidR="00C74794">
              <w:rPr>
                <w:rFonts w:ascii="楷体_GB2312" w:eastAsia="楷体_GB2312" w:hAnsi="楷体_GB2312" w:cs="楷体_GB2312" w:hint="eastAsia"/>
                <w:noProof/>
                <w:szCs w:val="32"/>
              </w:rPr>
              <w:t>第一节 守住经济社会发展安全底线</w:t>
            </w:r>
            <w:r w:rsidR="00C74794">
              <w:rPr>
                <w:noProof/>
              </w:rPr>
              <w:tab/>
            </w:r>
            <w:r w:rsidR="0045498C">
              <w:rPr>
                <w:noProof/>
              </w:rPr>
              <w:fldChar w:fldCharType="begin"/>
            </w:r>
            <w:r w:rsidR="00C74794">
              <w:rPr>
                <w:noProof/>
              </w:rPr>
              <w:instrText xml:space="preserve"> PAGEREF _Toc31637 </w:instrText>
            </w:r>
            <w:r w:rsidR="0045498C">
              <w:rPr>
                <w:noProof/>
              </w:rPr>
              <w:fldChar w:fldCharType="separate"/>
            </w:r>
            <w:r w:rsidR="000278DC">
              <w:rPr>
                <w:noProof/>
              </w:rPr>
              <w:t>93</w:t>
            </w:r>
            <w:r w:rsidR="0045498C">
              <w:rPr>
                <w:noProof/>
              </w:rPr>
              <w:fldChar w:fldCharType="end"/>
            </w:r>
          </w:hyperlink>
        </w:p>
        <w:p w14:paraId="76CB2A1F" w14:textId="77777777" w:rsidR="00501569" w:rsidRDefault="00000000">
          <w:pPr>
            <w:pStyle w:val="TOC2"/>
            <w:tabs>
              <w:tab w:val="right" w:leader="dot" w:pos="8306"/>
            </w:tabs>
            <w:rPr>
              <w:noProof/>
            </w:rPr>
          </w:pPr>
          <w:hyperlink w:anchor="_Toc25663" w:history="1">
            <w:r w:rsidR="00C74794">
              <w:rPr>
                <w:rFonts w:ascii="楷体_GB2312" w:eastAsia="楷体_GB2312" w:hAnsi="楷体_GB2312" w:cs="楷体_GB2312" w:hint="eastAsia"/>
                <w:noProof/>
                <w:szCs w:val="32"/>
              </w:rPr>
              <w:t>第二节 强化公共安全体系建设</w:t>
            </w:r>
            <w:r w:rsidR="00C74794">
              <w:rPr>
                <w:noProof/>
              </w:rPr>
              <w:tab/>
            </w:r>
            <w:r w:rsidR="0045498C">
              <w:rPr>
                <w:noProof/>
              </w:rPr>
              <w:fldChar w:fldCharType="begin"/>
            </w:r>
            <w:r w:rsidR="00C74794">
              <w:rPr>
                <w:noProof/>
              </w:rPr>
              <w:instrText xml:space="preserve"> PAGEREF _Toc25663 </w:instrText>
            </w:r>
            <w:r w:rsidR="0045498C">
              <w:rPr>
                <w:noProof/>
              </w:rPr>
              <w:fldChar w:fldCharType="separate"/>
            </w:r>
            <w:r w:rsidR="000278DC">
              <w:rPr>
                <w:noProof/>
              </w:rPr>
              <w:t>94</w:t>
            </w:r>
            <w:r w:rsidR="0045498C">
              <w:rPr>
                <w:noProof/>
              </w:rPr>
              <w:fldChar w:fldCharType="end"/>
            </w:r>
          </w:hyperlink>
        </w:p>
        <w:p w14:paraId="6B1BD4CE" w14:textId="77777777" w:rsidR="00501569" w:rsidRDefault="00000000">
          <w:pPr>
            <w:pStyle w:val="TOC2"/>
            <w:tabs>
              <w:tab w:val="right" w:leader="dot" w:pos="8306"/>
            </w:tabs>
            <w:rPr>
              <w:noProof/>
            </w:rPr>
          </w:pPr>
          <w:hyperlink w:anchor="_Toc31883" w:history="1">
            <w:r w:rsidR="00C74794">
              <w:rPr>
                <w:rFonts w:ascii="楷体_GB2312" w:eastAsia="楷体_GB2312" w:hAnsi="楷体_GB2312" w:cs="楷体_GB2312" w:hint="eastAsia"/>
                <w:noProof/>
                <w:szCs w:val="32"/>
              </w:rPr>
              <w:t>第三节</w:t>
            </w:r>
            <w:r w:rsidR="00C74794">
              <w:rPr>
                <w:rFonts w:ascii="楷体_GB2312" w:eastAsia="楷体_GB2312" w:hAnsi="楷体_GB2312" w:cs="楷体_GB2312"/>
                <w:noProof/>
                <w:szCs w:val="32"/>
              </w:rPr>
              <w:t xml:space="preserve"> </w:t>
            </w:r>
            <w:r w:rsidR="00C74794">
              <w:rPr>
                <w:rFonts w:ascii="楷体_GB2312" w:eastAsia="楷体_GB2312" w:hAnsi="楷体_GB2312" w:cs="楷体_GB2312" w:hint="eastAsia"/>
                <w:noProof/>
                <w:szCs w:val="32"/>
              </w:rPr>
              <w:t>提升社会治理能力</w:t>
            </w:r>
            <w:r w:rsidR="00C74794">
              <w:rPr>
                <w:noProof/>
              </w:rPr>
              <w:tab/>
            </w:r>
            <w:r w:rsidR="0045498C">
              <w:rPr>
                <w:noProof/>
              </w:rPr>
              <w:fldChar w:fldCharType="begin"/>
            </w:r>
            <w:r w:rsidR="00C74794">
              <w:rPr>
                <w:noProof/>
              </w:rPr>
              <w:instrText xml:space="preserve"> PAGEREF _Toc31883 </w:instrText>
            </w:r>
            <w:r w:rsidR="0045498C">
              <w:rPr>
                <w:noProof/>
              </w:rPr>
              <w:fldChar w:fldCharType="separate"/>
            </w:r>
            <w:r w:rsidR="000278DC">
              <w:rPr>
                <w:noProof/>
              </w:rPr>
              <w:t>95</w:t>
            </w:r>
            <w:r w:rsidR="0045498C">
              <w:rPr>
                <w:noProof/>
              </w:rPr>
              <w:fldChar w:fldCharType="end"/>
            </w:r>
          </w:hyperlink>
        </w:p>
        <w:p w14:paraId="25BFD242" w14:textId="77777777" w:rsidR="00501569" w:rsidRDefault="00000000">
          <w:pPr>
            <w:pStyle w:val="TOC2"/>
            <w:tabs>
              <w:tab w:val="right" w:leader="dot" w:pos="8306"/>
            </w:tabs>
            <w:rPr>
              <w:noProof/>
            </w:rPr>
          </w:pPr>
          <w:hyperlink w:anchor="_Toc27132" w:history="1">
            <w:r w:rsidR="00C74794">
              <w:rPr>
                <w:rFonts w:ascii="楷体_GB2312" w:eastAsia="楷体_GB2312" w:hAnsi="楷体_GB2312" w:cs="楷体_GB2312" w:hint="eastAsia"/>
                <w:noProof/>
                <w:szCs w:val="32"/>
              </w:rPr>
              <w:t>第四节 建设法治公主岭</w:t>
            </w:r>
            <w:r w:rsidR="00C74794">
              <w:rPr>
                <w:noProof/>
              </w:rPr>
              <w:tab/>
            </w:r>
            <w:r w:rsidR="0045498C">
              <w:rPr>
                <w:noProof/>
              </w:rPr>
              <w:fldChar w:fldCharType="begin"/>
            </w:r>
            <w:r w:rsidR="00C74794">
              <w:rPr>
                <w:noProof/>
              </w:rPr>
              <w:instrText xml:space="preserve"> PAGEREF _Toc27132 </w:instrText>
            </w:r>
            <w:r w:rsidR="0045498C">
              <w:rPr>
                <w:noProof/>
              </w:rPr>
              <w:fldChar w:fldCharType="separate"/>
            </w:r>
            <w:r w:rsidR="000278DC">
              <w:rPr>
                <w:noProof/>
              </w:rPr>
              <w:t>97</w:t>
            </w:r>
            <w:r w:rsidR="0045498C">
              <w:rPr>
                <w:noProof/>
              </w:rPr>
              <w:fldChar w:fldCharType="end"/>
            </w:r>
          </w:hyperlink>
        </w:p>
        <w:p w14:paraId="4AF1E559" w14:textId="77777777" w:rsidR="00501569" w:rsidRDefault="00000000">
          <w:pPr>
            <w:pStyle w:val="TOC2"/>
            <w:tabs>
              <w:tab w:val="right" w:leader="dot" w:pos="8306"/>
            </w:tabs>
            <w:rPr>
              <w:noProof/>
            </w:rPr>
          </w:pPr>
          <w:hyperlink w:anchor="_Toc14110" w:history="1">
            <w:r w:rsidR="00C74794">
              <w:rPr>
                <w:rFonts w:ascii="楷体_GB2312" w:eastAsia="楷体_GB2312" w:hAnsi="楷体_GB2312" w:cs="楷体_GB2312" w:hint="eastAsia"/>
                <w:noProof/>
                <w:szCs w:val="32"/>
              </w:rPr>
              <w:t>第五节 建设信用公主岭</w:t>
            </w:r>
            <w:r w:rsidR="00C74794">
              <w:rPr>
                <w:noProof/>
              </w:rPr>
              <w:tab/>
            </w:r>
            <w:r w:rsidR="0045498C">
              <w:rPr>
                <w:noProof/>
              </w:rPr>
              <w:fldChar w:fldCharType="begin"/>
            </w:r>
            <w:r w:rsidR="00C74794">
              <w:rPr>
                <w:noProof/>
              </w:rPr>
              <w:instrText xml:space="preserve"> PAGEREF _Toc14110 </w:instrText>
            </w:r>
            <w:r w:rsidR="0045498C">
              <w:rPr>
                <w:noProof/>
              </w:rPr>
              <w:fldChar w:fldCharType="separate"/>
            </w:r>
            <w:r w:rsidR="000278DC">
              <w:rPr>
                <w:noProof/>
              </w:rPr>
              <w:t>99</w:t>
            </w:r>
            <w:r w:rsidR="0045498C">
              <w:rPr>
                <w:noProof/>
              </w:rPr>
              <w:fldChar w:fldCharType="end"/>
            </w:r>
          </w:hyperlink>
        </w:p>
        <w:p w14:paraId="3CF86A17" w14:textId="77777777" w:rsidR="00501569" w:rsidRDefault="00000000">
          <w:pPr>
            <w:pStyle w:val="TOC1"/>
            <w:tabs>
              <w:tab w:val="right" w:leader="dot" w:pos="8306"/>
            </w:tabs>
            <w:rPr>
              <w:noProof/>
            </w:rPr>
          </w:pPr>
          <w:hyperlink w:anchor="_Toc9733" w:history="1">
            <w:r w:rsidR="00C74794">
              <w:rPr>
                <w:rFonts w:ascii="黑体" w:eastAsia="黑体" w:hAnsi="黑体" w:cs="黑体" w:hint="eastAsia"/>
                <w:noProof/>
                <w:szCs w:val="32"/>
              </w:rPr>
              <w:t>第十四章 加强文化建设，增强发展软实力</w:t>
            </w:r>
            <w:r w:rsidR="00C74794">
              <w:rPr>
                <w:noProof/>
              </w:rPr>
              <w:tab/>
            </w:r>
            <w:r w:rsidR="0045498C">
              <w:rPr>
                <w:noProof/>
              </w:rPr>
              <w:fldChar w:fldCharType="begin"/>
            </w:r>
            <w:r w:rsidR="00C74794">
              <w:rPr>
                <w:noProof/>
              </w:rPr>
              <w:instrText xml:space="preserve"> PAGEREF _Toc9733 </w:instrText>
            </w:r>
            <w:r w:rsidR="0045498C">
              <w:rPr>
                <w:noProof/>
              </w:rPr>
              <w:fldChar w:fldCharType="separate"/>
            </w:r>
            <w:r w:rsidR="000278DC">
              <w:rPr>
                <w:noProof/>
              </w:rPr>
              <w:t>100</w:t>
            </w:r>
            <w:r w:rsidR="0045498C">
              <w:rPr>
                <w:noProof/>
              </w:rPr>
              <w:fldChar w:fldCharType="end"/>
            </w:r>
          </w:hyperlink>
        </w:p>
        <w:p w14:paraId="210AB745" w14:textId="77777777" w:rsidR="00501569" w:rsidRDefault="00000000">
          <w:pPr>
            <w:pStyle w:val="TOC2"/>
            <w:tabs>
              <w:tab w:val="right" w:leader="dot" w:pos="8306"/>
            </w:tabs>
            <w:rPr>
              <w:noProof/>
            </w:rPr>
          </w:pPr>
          <w:hyperlink w:anchor="_Toc21078" w:history="1">
            <w:r w:rsidR="00C74794">
              <w:rPr>
                <w:rFonts w:ascii="楷体_GB2312" w:eastAsia="楷体_GB2312" w:hAnsi="楷体_GB2312" w:cs="楷体_GB2312" w:hint="eastAsia"/>
                <w:noProof/>
                <w:szCs w:val="32"/>
              </w:rPr>
              <w:t>第一节 提升社会文明程度</w:t>
            </w:r>
            <w:r w:rsidR="00C74794">
              <w:rPr>
                <w:noProof/>
              </w:rPr>
              <w:tab/>
            </w:r>
            <w:r w:rsidR="0045498C">
              <w:rPr>
                <w:noProof/>
              </w:rPr>
              <w:fldChar w:fldCharType="begin"/>
            </w:r>
            <w:r w:rsidR="00C74794">
              <w:rPr>
                <w:noProof/>
              </w:rPr>
              <w:instrText xml:space="preserve"> PAGEREF _Toc21078 </w:instrText>
            </w:r>
            <w:r w:rsidR="0045498C">
              <w:rPr>
                <w:noProof/>
              </w:rPr>
              <w:fldChar w:fldCharType="separate"/>
            </w:r>
            <w:r w:rsidR="000278DC">
              <w:rPr>
                <w:noProof/>
              </w:rPr>
              <w:t>100</w:t>
            </w:r>
            <w:r w:rsidR="0045498C">
              <w:rPr>
                <w:noProof/>
              </w:rPr>
              <w:fldChar w:fldCharType="end"/>
            </w:r>
          </w:hyperlink>
        </w:p>
        <w:p w14:paraId="33258D69" w14:textId="77777777" w:rsidR="00501569" w:rsidRDefault="00000000">
          <w:pPr>
            <w:pStyle w:val="TOC2"/>
            <w:tabs>
              <w:tab w:val="right" w:leader="dot" w:pos="8306"/>
            </w:tabs>
            <w:rPr>
              <w:noProof/>
            </w:rPr>
          </w:pPr>
          <w:hyperlink w:anchor="_Toc11909" w:history="1">
            <w:r w:rsidR="00C74794">
              <w:rPr>
                <w:rFonts w:ascii="楷体_GB2312" w:eastAsia="楷体_GB2312" w:hAnsi="楷体_GB2312" w:cs="楷体_GB2312" w:hint="eastAsia"/>
                <w:noProof/>
                <w:szCs w:val="32"/>
              </w:rPr>
              <w:t>第二节 提升公共文化服务水平</w:t>
            </w:r>
            <w:r w:rsidR="00C74794">
              <w:rPr>
                <w:noProof/>
              </w:rPr>
              <w:tab/>
            </w:r>
            <w:r w:rsidR="0045498C">
              <w:rPr>
                <w:noProof/>
              </w:rPr>
              <w:fldChar w:fldCharType="begin"/>
            </w:r>
            <w:r w:rsidR="00C74794">
              <w:rPr>
                <w:noProof/>
              </w:rPr>
              <w:instrText xml:space="preserve"> PAGEREF _Toc11909 </w:instrText>
            </w:r>
            <w:r w:rsidR="0045498C">
              <w:rPr>
                <w:noProof/>
              </w:rPr>
              <w:fldChar w:fldCharType="separate"/>
            </w:r>
            <w:r w:rsidR="000278DC">
              <w:rPr>
                <w:noProof/>
              </w:rPr>
              <w:t>101</w:t>
            </w:r>
            <w:r w:rsidR="0045498C">
              <w:rPr>
                <w:noProof/>
              </w:rPr>
              <w:fldChar w:fldCharType="end"/>
            </w:r>
          </w:hyperlink>
        </w:p>
        <w:p w14:paraId="42AEC997" w14:textId="77777777" w:rsidR="00501569" w:rsidRDefault="00000000">
          <w:pPr>
            <w:pStyle w:val="TOC2"/>
            <w:tabs>
              <w:tab w:val="right" w:leader="dot" w:pos="8306"/>
            </w:tabs>
            <w:rPr>
              <w:noProof/>
            </w:rPr>
          </w:pPr>
          <w:hyperlink w:anchor="_Toc20998" w:history="1">
            <w:r w:rsidR="00C74794">
              <w:rPr>
                <w:rFonts w:ascii="楷体_GB2312" w:eastAsia="楷体_GB2312" w:hAnsi="楷体_GB2312" w:cs="楷体_GB2312" w:hint="eastAsia"/>
                <w:noProof/>
                <w:szCs w:val="32"/>
              </w:rPr>
              <w:t>第三节 提升城市文化软实力</w:t>
            </w:r>
            <w:r w:rsidR="00C74794">
              <w:rPr>
                <w:noProof/>
              </w:rPr>
              <w:tab/>
            </w:r>
            <w:r w:rsidR="0045498C">
              <w:rPr>
                <w:noProof/>
              </w:rPr>
              <w:fldChar w:fldCharType="begin"/>
            </w:r>
            <w:r w:rsidR="00C74794">
              <w:rPr>
                <w:noProof/>
              </w:rPr>
              <w:instrText xml:space="preserve"> PAGEREF _Toc20998 </w:instrText>
            </w:r>
            <w:r w:rsidR="0045498C">
              <w:rPr>
                <w:noProof/>
              </w:rPr>
              <w:fldChar w:fldCharType="separate"/>
            </w:r>
            <w:r w:rsidR="000278DC">
              <w:rPr>
                <w:noProof/>
              </w:rPr>
              <w:t>102</w:t>
            </w:r>
            <w:r w:rsidR="0045498C">
              <w:rPr>
                <w:noProof/>
              </w:rPr>
              <w:fldChar w:fldCharType="end"/>
            </w:r>
          </w:hyperlink>
        </w:p>
        <w:p w14:paraId="46787488" w14:textId="77777777" w:rsidR="00501569" w:rsidRDefault="00000000">
          <w:pPr>
            <w:pStyle w:val="TOC1"/>
            <w:tabs>
              <w:tab w:val="right" w:leader="dot" w:pos="8306"/>
            </w:tabs>
            <w:rPr>
              <w:noProof/>
            </w:rPr>
          </w:pPr>
          <w:hyperlink w:anchor="_Toc27908" w:history="1">
            <w:r w:rsidR="00C74794">
              <w:rPr>
                <w:rFonts w:ascii="黑体" w:eastAsia="黑体" w:hAnsi="黑体" w:cs="黑体" w:hint="eastAsia"/>
                <w:noProof/>
                <w:szCs w:val="32"/>
              </w:rPr>
              <w:t>第十五章 强化规划实施保障，奋力实现振兴目标</w:t>
            </w:r>
            <w:r w:rsidR="00C74794">
              <w:rPr>
                <w:noProof/>
              </w:rPr>
              <w:tab/>
            </w:r>
            <w:r w:rsidR="0045498C">
              <w:rPr>
                <w:noProof/>
              </w:rPr>
              <w:fldChar w:fldCharType="begin"/>
            </w:r>
            <w:r w:rsidR="00C74794">
              <w:rPr>
                <w:noProof/>
              </w:rPr>
              <w:instrText xml:space="preserve"> PAGEREF _Toc27908 </w:instrText>
            </w:r>
            <w:r w:rsidR="0045498C">
              <w:rPr>
                <w:noProof/>
              </w:rPr>
              <w:fldChar w:fldCharType="separate"/>
            </w:r>
            <w:r w:rsidR="000278DC">
              <w:rPr>
                <w:noProof/>
              </w:rPr>
              <w:t>103</w:t>
            </w:r>
            <w:r w:rsidR="0045498C">
              <w:rPr>
                <w:noProof/>
              </w:rPr>
              <w:fldChar w:fldCharType="end"/>
            </w:r>
          </w:hyperlink>
        </w:p>
        <w:p w14:paraId="161B549C" w14:textId="77777777" w:rsidR="00501569" w:rsidRDefault="00000000">
          <w:pPr>
            <w:pStyle w:val="TOC2"/>
            <w:tabs>
              <w:tab w:val="right" w:leader="dot" w:pos="8306"/>
            </w:tabs>
            <w:rPr>
              <w:noProof/>
            </w:rPr>
          </w:pPr>
          <w:hyperlink w:anchor="_Toc17016" w:history="1">
            <w:r w:rsidR="00C74794">
              <w:rPr>
                <w:rFonts w:ascii="楷体_GB2312" w:eastAsia="楷体_GB2312" w:hAnsi="楷体_GB2312" w:cs="楷体_GB2312" w:hint="eastAsia"/>
                <w:noProof/>
                <w:szCs w:val="32"/>
              </w:rPr>
              <w:t>第一节 坚持和加强党的全面领导</w:t>
            </w:r>
            <w:r w:rsidR="00C74794">
              <w:rPr>
                <w:noProof/>
              </w:rPr>
              <w:tab/>
            </w:r>
            <w:r w:rsidR="0045498C">
              <w:rPr>
                <w:noProof/>
              </w:rPr>
              <w:fldChar w:fldCharType="begin"/>
            </w:r>
            <w:r w:rsidR="00C74794">
              <w:rPr>
                <w:noProof/>
              </w:rPr>
              <w:instrText xml:space="preserve"> PAGEREF _Toc17016 </w:instrText>
            </w:r>
            <w:r w:rsidR="0045498C">
              <w:rPr>
                <w:noProof/>
              </w:rPr>
              <w:fldChar w:fldCharType="separate"/>
            </w:r>
            <w:r w:rsidR="000278DC">
              <w:rPr>
                <w:noProof/>
              </w:rPr>
              <w:t>103</w:t>
            </w:r>
            <w:r w:rsidR="0045498C">
              <w:rPr>
                <w:noProof/>
              </w:rPr>
              <w:fldChar w:fldCharType="end"/>
            </w:r>
          </w:hyperlink>
        </w:p>
        <w:p w14:paraId="318997ED" w14:textId="77777777" w:rsidR="00501569" w:rsidRDefault="00000000">
          <w:pPr>
            <w:pStyle w:val="TOC2"/>
            <w:tabs>
              <w:tab w:val="right" w:leader="dot" w:pos="8306"/>
            </w:tabs>
            <w:rPr>
              <w:noProof/>
            </w:rPr>
          </w:pPr>
          <w:hyperlink w:anchor="_Toc27141" w:history="1">
            <w:r w:rsidR="00C74794">
              <w:rPr>
                <w:rFonts w:ascii="楷体_GB2312" w:eastAsia="楷体_GB2312" w:hAnsi="楷体_GB2312" w:cs="楷体_GB2312" w:hint="eastAsia"/>
                <w:noProof/>
                <w:szCs w:val="32"/>
              </w:rPr>
              <w:t>第二节 建立健全统一规划体系</w:t>
            </w:r>
            <w:r w:rsidR="00C74794">
              <w:rPr>
                <w:noProof/>
              </w:rPr>
              <w:tab/>
            </w:r>
            <w:r w:rsidR="0045498C">
              <w:rPr>
                <w:noProof/>
              </w:rPr>
              <w:fldChar w:fldCharType="begin"/>
            </w:r>
            <w:r w:rsidR="00C74794">
              <w:rPr>
                <w:noProof/>
              </w:rPr>
              <w:instrText xml:space="preserve"> PAGEREF _Toc27141 </w:instrText>
            </w:r>
            <w:r w:rsidR="0045498C">
              <w:rPr>
                <w:noProof/>
              </w:rPr>
              <w:fldChar w:fldCharType="separate"/>
            </w:r>
            <w:r w:rsidR="000278DC">
              <w:rPr>
                <w:noProof/>
              </w:rPr>
              <w:t>104</w:t>
            </w:r>
            <w:r w:rsidR="0045498C">
              <w:rPr>
                <w:noProof/>
              </w:rPr>
              <w:fldChar w:fldCharType="end"/>
            </w:r>
          </w:hyperlink>
        </w:p>
        <w:p w14:paraId="06961BDE" w14:textId="77777777" w:rsidR="00501569" w:rsidRDefault="00000000">
          <w:pPr>
            <w:pStyle w:val="TOC2"/>
            <w:tabs>
              <w:tab w:val="right" w:leader="dot" w:pos="8306"/>
            </w:tabs>
            <w:rPr>
              <w:noProof/>
            </w:rPr>
          </w:pPr>
          <w:hyperlink w:anchor="_Toc27154" w:history="1">
            <w:r w:rsidR="00C74794">
              <w:rPr>
                <w:rFonts w:ascii="楷体_GB2312" w:eastAsia="楷体_GB2312" w:hAnsi="楷体_GB2312" w:cs="楷体_GB2312" w:hint="eastAsia"/>
                <w:noProof/>
                <w:szCs w:val="32"/>
              </w:rPr>
              <w:t>第三节 完善规划目标任务实施保障机制</w:t>
            </w:r>
            <w:r w:rsidR="00C74794">
              <w:rPr>
                <w:noProof/>
              </w:rPr>
              <w:tab/>
            </w:r>
            <w:r w:rsidR="0045498C">
              <w:rPr>
                <w:noProof/>
              </w:rPr>
              <w:fldChar w:fldCharType="begin"/>
            </w:r>
            <w:r w:rsidR="00C74794">
              <w:rPr>
                <w:noProof/>
              </w:rPr>
              <w:instrText xml:space="preserve"> PAGEREF _Toc27154 </w:instrText>
            </w:r>
            <w:r w:rsidR="0045498C">
              <w:rPr>
                <w:noProof/>
              </w:rPr>
              <w:fldChar w:fldCharType="separate"/>
            </w:r>
            <w:r w:rsidR="000278DC">
              <w:rPr>
                <w:noProof/>
              </w:rPr>
              <w:t>104</w:t>
            </w:r>
            <w:r w:rsidR="0045498C">
              <w:rPr>
                <w:noProof/>
              </w:rPr>
              <w:fldChar w:fldCharType="end"/>
            </w:r>
          </w:hyperlink>
        </w:p>
        <w:p w14:paraId="47B7D30A" w14:textId="77777777" w:rsidR="00501569" w:rsidRDefault="00000000">
          <w:pPr>
            <w:pStyle w:val="TOC2"/>
            <w:tabs>
              <w:tab w:val="right" w:leader="dot" w:pos="8306"/>
            </w:tabs>
            <w:rPr>
              <w:noProof/>
            </w:rPr>
          </w:pPr>
          <w:hyperlink w:anchor="_Toc31355" w:history="1">
            <w:r w:rsidR="00C74794">
              <w:rPr>
                <w:rFonts w:ascii="楷体_GB2312" w:eastAsia="楷体_GB2312" w:hAnsi="楷体_GB2312" w:cs="楷体_GB2312" w:hint="eastAsia"/>
                <w:noProof/>
                <w:szCs w:val="32"/>
              </w:rPr>
              <w:t>第四节 完善重大工程项目落地保障机制</w:t>
            </w:r>
            <w:r w:rsidR="00C74794">
              <w:rPr>
                <w:noProof/>
              </w:rPr>
              <w:tab/>
            </w:r>
            <w:r w:rsidR="0045498C">
              <w:rPr>
                <w:noProof/>
              </w:rPr>
              <w:fldChar w:fldCharType="begin"/>
            </w:r>
            <w:r w:rsidR="00C74794">
              <w:rPr>
                <w:noProof/>
              </w:rPr>
              <w:instrText xml:space="preserve"> PAGEREF _Toc31355 </w:instrText>
            </w:r>
            <w:r w:rsidR="0045498C">
              <w:rPr>
                <w:noProof/>
              </w:rPr>
              <w:fldChar w:fldCharType="separate"/>
            </w:r>
            <w:r w:rsidR="000278DC">
              <w:rPr>
                <w:noProof/>
              </w:rPr>
              <w:t>105</w:t>
            </w:r>
            <w:r w:rsidR="0045498C">
              <w:rPr>
                <w:noProof/>
              </w:rPr>
              <w:fldChar w:fldCharType="end"/>
            </w:r>
          </w:hyperlink>
        </w:p>
        <w:p w14:paraId="7227F3BB" w14:textId="77777777" w:rsidR="00501569" w:rsidRDefault="00000000">
          <w:pPr>
            <w:pStyle w:val="TOC2"/>
            <w:tabs>
              <w:tab w:val="right" w:leader="dot" w:pos="8306"/>
            </w:tabs>
            <w:rPr>
              <w:noProof/>
            </w:rPr>
          </w:pPr>
          <w:hyperlink w:anchor="_Toc31106" w:history="1">
            <w:r w:rsidR="00C74794">
              <w:rPr>
                <w:rFonts w:ascii="楷体_GB2312" w:eastAsia="楷体_GB2312" w:hAnsi="楷体_GB2312" w:cs="楷体_GB2312" w:hint="eastAsia"/>
                <w:noProof/>
                <w:szCs w:val="32"/>
              </w:rPr>
              <w:t>第五节 完善规划实施评估和调整修订机制</w:t>
            </w:r>
            <w:r w:rsidR="00C74794">
              <w:rPr>
                <w:noProof/>
              </w:rPr>
              <w:tab/>
            </w:r>
            <w:r w:rsidR="0045498C">
              <w:rPr>
                <w:noProof/>
              </w:rPr>
              <w:fldChar w:fldCharType="begin"/>
            </w:r>
            <w:r w:rsidR="00C74794">
              <w:rPr>
                <w:noProof/>
              </w:rPr>
              <w:instrText xml:space="preserve"> PAGEREF _Toc31106 </w:instrText>
            </w:r>
            <w:r w:rsidR="0045498C">
              <w:rPr>
                <w:noProof/>
              </w:rPr>
              <w:fldChar w:fldCharType="separate"/>
            </w:r>
            <w:r w:rsidR="000278DC">
              <w:rPr>
                <w:noProof/>
              </w:rPr>
              <w:t>106</w:t>
            </w:r>
            <w:r w:rsidR="0045498C">
              <w:rPr>
                <w:noProof/>
              </w:rPr>
              <w:fldChar w:fldCharType="end"/>
            </w:r>
          </w:hyperlink>
        </w:p>
        <w:p w14:paraId="01BE499E" w14:textId="77777777" w:rsidR="00501569" w:rsidRDefault="0045498C">
          <w:pPr>
            <w:adjustRightInd w:val="0"/>
            <w:snapToGrid w:val="0"/>
            <w:spacing w:line="460" w:lineRule="exact"/>
          </w:pPr>
          <w:r>
            <w:rPr>
              <w:rFonts w:ascii="楷体_GB2312" w:eastAsia="楷体_GB2312" w:hint="eastAsia"/>
              <w:szCs w:val="28"/>
            </w:rPr>
            <w:fldChar w:fldCharType="end"/>
          </w:r>
        </w:p>
      </w:sdtContent>
    </w:sdt>
    <w:p w14:paraId="7C1AEF76" w14:textId="77777777" w:rsidR="00501569" w:rsidRDefault="00501569">
      <w:pPr>
        <w:adjustRightInd w:val="0"/>
        <w:snapToGrid w:val="0"/>
        <w:spacing w:line="460" w:lineRule="exact"/>
        <w:ind w:firstLine="560"/>
        <w:jc w:val="center"/>
        <w:rPr>
          <w:rFonts w:ascii="楷体_GB2312" w:eastAsia="楷体_GB2312" w:hAnsi="Calibri" w:cs="Times New Roman"/>
          <w:sz w:val="28"/>
          <w:szCs w:val="28"/>
        </w:rPr>
        <w:sectPr w:rsidR="00501569">
          <w:footerReference w:type="default" r:id="rId8"/>
          <w:pgSz w:w="11906" w:h="16838"/>
          <w:pgMar w:top="1440" w:right="1800" w:bottom="1440" w:left="1800" w:header="851" w:footer="992" w:gutter="0"/>
          <w:pgNumType w:fmt="upperRoman" w:start="1"/>
          <w:cols w:space="720"/>
          <w:docGrid w:type="lines" w:linePitch="312"/>
        </w:sectPr>
      </w:pPr>
    </w:p>
    <w:p w14:paraId="3061837F" w14:textId="77777777" w:rsidR="00501569" w:rsidRDefault="00C74794" w:rsidP="0045498C">
      <w:pPr>
        <w:pStyle w:val="NewNew"/>
        <w:spacing w:afterLines="100" w:after="312"/>
        <w:ind w:firstLineChars="200" w:firstLine="640"/>
        <w:rPr>
          <w:rFonts w:ascii="仿宋_GB2312" w:eastAsia="仿宋_GB2312" w:hAnsi="仿宋_GB2312"/>
          <w:bCs/>
          <w:color w:val="000000"/>
          <w:sz w:val="32"/>
          <w:szCs w:val="32"/>
        </w:rPr>
      </w:pPr>
      <w:r>
        <w:rPr>
          <w:rFonts w:ascii="仿宋_GB2312" w:eastAsia="仿宋_GB2312" w:hAnsi="仿宋_GB2312" w:cs="仿宋_GB2312" w:hint="eastAsia"/>
          <w:color w:val="000000" w:themeColor="text1"/>
          <w:sz w:val="32"/>
          <w:szCs w:val="32"/>
        </w:rPr>
        <w:lastRenderedPageBreak/>
        <w:t>公主岭市国民经济和社会发展第十四个五年（2021—2025年）规划和</w:t>
      </w:r>
      <w:r w:rsidR="00B405FE">
        <w:rPr>
          <w:rFonts w:ascii="仿宋_GB2312" w:eastAsia="仿宋_GB2312" w:hAnsi="仿宋_GB2312" w:cs="仿宋_GB2312" w:hint="eastAsia"/>
          <w:color w:val="000000" w:themeColor="text1"/>
          <w:sz w:val="32"/>
          <w:szCs w:val="32"/>
        </w:rPr>
        <w:t>2</w:t>
      </w:r>
      <w:r w:rsidR="00B405FE">
        <w:rPr>
          <w:rFonts w:ascii="仿宋_GB2312" w:eastAsia="仿宋_GB2312" w:hAnsi="仿宋_GB2312" w:cs="仿宋_GB2312"/>
          <w:color w:val="000000" w:themeColor="text1"/>
          <w:sz w:val="32"/>
          <w:szCs w:val="32"/>
        </w:rPr>
        <w:t>035</w:t>
      </w:r>
      <w:r w:rsidR="00BE7621">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远景目标纲要，</w:t>
      </w:r>
      <w:r w:rsidR="00BE7621">
        <w:rPr>
          <w:rFonts w:ascii="仿宋_GB2312" w:eastAsia="仿宋_GB2312" w:hAnsi="仿宋_GB2312" w:cs="仿宋_GB2312" w:hint="eastAsia"/>
          <w:color w:val="000000" w:themeColor="text1"/>
          <w:sz w:val="32"/>
          <w:szCs w:val="32"/>
        </w:rPr>
        <w:t>根据《中共公主岭市委关于制定公主岭市国民经济和社会发展第十四个五年规划和二〇三五年远景目标的建议》编制</w:t>
      </w:r>
      <w:r>
        <w:rPr>
          <w:rFonts w:ascii="仿宋_GB2312" w:eastAsia="仿宋_GB2312" w:hAnsi="仿宋_GB2312" w:cs="仿宋_GB2312" w:hint="eastAsia"/>
          <w:color w:val="000000" w:themeColor="text1"/>
          <w:sz w:val="32"/>
          <w:szCs w:val="32"/>
        </w:rPr>
        <w:t>，明确公主岭市未来五年经济社会发展主要目标、重点任务和重大举措，是市场主体的行为导向，是政府履行职责的重要依据，是开启全面建设社会主义现代化新征程、推动</w:t>
      </w:r>
      <w:r>
        <w:rPr>
          <w:rFonts w:ascii="仿宋_GB2312" w:eastAsia="仿宋_GB2312" w:hAnsi="仿宋_GB2312" w:hint="eastAsia"/>
          <w:bCs/>
          <w:color w:val="000000"/>
          <w:sz w:val="32"/>
          <w:szCs w:val="32"/>
        </w:rPr>
        <w:t>建设长春现代化都市圈新型中等城市、加快</w:t>
      </w:r>
      <w:r>
        <w:rPr>
          <w:rFonts w:ascii="仿宋_GB2312" w:eastAsia="仿宋_GB2312" w:hAnsi="仿宋_GB2312" w:cs="仿宋_GB2312" w:hint="eastAsia"/>
          <w:color w:val="000000" w:themeColor="text1"/>
          <w:sz w:val="32"/>
          <w:szCs w:val="32"/>
        </w:rPr>
        <w:t>实现全面振兴全方位振兴的共同愿景。</w:t>
      </w:r>
    </w:p>
    <w:p w14:paraId="27FE72D5" w14:textId="77777777" w:rsidR="000F74AA" w:rsidRDefault="00C74794" w:rsidP="0045498C">
      <w:pPr>
        <w:adjustRightInd w:val="0"/>
        <w:snapToGrid w:val="0"/>
        <w:spacing w:beforeLines="50" w:before="156"/>
        <w:jc w:val="center"/>
        <w:outlineLvl w:val="0"/>
        <w:rPr>
          <w:rFonts w:ascii="黑体" w:eastAsia="黑体" w:hAnsi="黑体"/>
          <w:w w:val="96"/>
          <w:sz w:val="32"/>
          <w:szCs w:val="32"/>
        </w:rPr>
      </w:pPr>
      <w:bookmarkStart w:id="0" w:name="_Toc14218"/>
      <w:r>
        <w:rPr>
          <w:rFonts w:ascii="黑体" w:eastAsia="黑体" w:hAnsi="黑体" w:hint="eastAsia"/>
          <w:sz w:val="32"/>
          <w:szCs w:val="32"/>
        </w:rPr>
        <w:t xml:space="preserve">第一章 </w:t>
      </w:r>
      <w:r>
        <w:rPr>
          <w:rFonts w:ascii="黑体" w:eastAsia="黑体" w:hAnsi="黑体" w:hint="eastAsia"/>
          <w:w w:val="96"/>
          <w:sz w:val="32"/>
          <w:szCs w:val="32"/>
        </w:rPr>
        <w:t>全面建成小康社会，开启全面振兴全方位振兴</w:t>
      </w:r>
    </w:p>
    <w:p w14:paraId="67882B18" w14:textId="77777777" w:rsidR="00501569" w:rsidRDefault="00C74794" w:rsidP="0045498C">
      <w:pPr>
        <w:adjustRightInd w:val="0"/>
        <w:snapToGrid w:val="0"/>
        <w:spacing w:beforeLines="50" w:before="156" w:afterLines="100" w:after="312"/>
        <w:jc w:val="center"/>
        <w:outlineLvl w:val="0"/>
        <w:rPr>
          <w:rFonts w:ascii="黑体" w:eastAsia="黑体" w:hAnsi="黑体"/>
          <w:w w:val="96"/>
          <w:sz w:val="32"/>
          <w:szCs w:val="32"/>
        </w:rPr>
      </w:pPr>
      <w:r>
        <w:rPr>
          <w:rFonts w:ascii="黑体" w:eastAsia="黑体" w:hAnsi="黑体" w:hint="eastAsia"/>
          <w:w w:val="96"/>
          <w:sz w:val="32"/>
          <w:szCs w:val="32"/>
        </w:rPr>
        <w:t>和全面建设社会主义现代化新征程</w:t>
      </w:r>
      <w:bookmarkEnd w:id="0"/>
    </w:p>
    <w:p w14:paraId="6DEA3020" w14:textId="77777777" w:rsidR="00501569" w:rsidRPr="007F02F9" w:rsidRDefault="00C74794" w:rsidP="0045498C">
      <w:pPr>
        <w:spacing w:afterLines="100" w:after="312"/>
        <w:jc w:val="center"/>
        <w:outlineLvl w:val="1"/>
        <w:rPr>
          <w:rFonts w:ascii="楷体_GB2312" w:eastAsia="楷体_GB2312"/>
          <w:b/>
          <w:bCs/>
          <w:sz w:val="32"/>
          <w:szCs w:val="32"/>
        </w:rPr>
      </w:pPr>
      <w:bookmarkStart w:id="1" w:name="_Toc429"/>
      <w:r w:rsidRPr="007F02F9">
        <w:rPr>
          <w:rFonts w:ascii="楷体_GB2312" w:eastAsia="楷体_GB2312" w:hint="eastAsia"/>
          <w:b/>
          <w:bCs/>
          <w:sz w:val="32"/>
          <w:szCs w:val="32"/>
        </w:rPr>
        <w:t>第一节 发展基础</w:t>
      </w:r>
      <w:bookmarkEnd w:id="1"/>
    </w:p>
    <w:p w14:paraId="4C4537DB" w14:textId="77777777" w:rsidR="00317922" w:rsidRPr="00317922" w:rsidRDefault="00C74794" w:rsidP="00317922">
      <w:pPr>
        <w:ind w:firstLineChars="200" w:firstLine="640"/>
        <w:rPr>
          <w:rFonts w:ascii="仿宋_GB2312" w:eastAsia="仿宋_GB2312" w:hAnsi="仿宋_GB2312" w:cs="仿宋_GB2312"/>
          <w:color w:val="000000" w:themeColor="text1"/>
          <w:sz w:val="32"/>
          <w:szCs w:val="32"/>
        </w:rPr>
      </w:pPr>
      <w:bookmarkStart w:id="2" w:name="_Toc25347_WPSOffice_Level2"/>
      <w:r w:rsidRPr="00317922">
        <w:rPr>
          <w:rFonts w:ascii="仿宋_GB2312" w:eastAsia="仿宋_GB2312" w:hAnsi="仿宋_GB2312" w:cs="仿宋_GB2312" w:hint="eastAsia"/>
          <w:color w:val="000000" w:themeColor="text1"/>
          <w:sz w:val="32"/>
          <w:szCs w:val="32"/>
        </w:rPr>
        <w:t xml:space="preserve"> “十三五”期间，公主岭市委、市政府团结带领全市广大干部群众，学习贯彻习近平新时代中国特色社会主义思想，牢固树立新发展理念，全面贯彻吉林省委、省政府和长春市委、市政府各项部署安排，紧紧围绕“三个五”发展战略和“一主、六双”产业空间布局，统筹做好稳增长、促改革、调结构、惠民生、防风险、保稳定等各项工作，顺利实现“十三五”规划确定的主要目标任务，如期全面建成小康社会，公主岭发展站在新的历史起点。</w:t>
      </w:r>
    </w:p>
    <w:p w14:paraId="167CACB2" w14:textId="77777777" w:rsidR="00501569" w:rsidRPr="00317922" w:rsidRDefault="00C74794" w:rsidP="00317922">
      <w:pPr>
        <w:ind w:firstLineChars="200" w:firstLine="643"/>
        <w:rPr>
          <w:rFonts w:ascii="仿宋_GB2312" w:eastAsia="仿宋_GB2312" w:hAnsi="仿宋_GB2312" w:cs="仿宋_GB2312"/>
          <w:color w:val="000000" w:themeColor="text1"/>
          <w:sz w:val="32"/>
          <w:szCs w:val="32"/>
        </w:rPr>
      </w:pPr>
      <w:r w:rsidRPr="00317922">
        <w:rPr>
          <w:rFonts w:ascii="仿宋_GB2312" w:eastAsia="仿宋_GB2312" w:hAnsi="仿宋_GB2312" w:cs="仿宋_GB2312" w:hint="eastAsia"/>
          <w:b/>
          <w:bCs/>
          <w:color w:val="000000" w:themeColor="text1"/>
          <w:sz w:val="32"/>
          <w:szCs w:val="32"/>
        </w:rPr>
        <w:t>同城化协同发展取得历史性突破。</w:t>
      </w:r>
      <w:r w:rsidRPr="00317922">
        <w:rPr>
          <w:rFonts w:ascii="仿宋_GB2312" w:eastAsia="仿宋_GB2312" w:hAnsi="仿宋_GB2312" w:cs="仿宋_GB2312" w:hint="eastAsia"/>
          <w:color w:val="000000" w:themeColor="text1"/>
          <w:sz w:val="32"/>
          <w:szCs w:val="32"/>
        </w:rPr>
        <w:t>公主岭获批由长春代管，富民大街、汽车大路（腾飞大路）已经贯通，新红旗大</w:t>
      </w:r>
      <w:r w:rsidRPr="00317922">
        <w:rPr>
          <w:rFonts w:ascii="仿宋_GB2312" w:eastAsia="仿宋_GB2312" w:hAnsi="仿宋_GB2312" w:cs="仿宋_GB2312" w:hint="eastAsia"/>
          <w:color w:val="000000" w:themeColor="text1"/>
          <w:sz w:val="32"/>
          <w:szCs w:val="32"/>
        </w:rPr>
        <w:lastRenderedPageBreak/>
        <w:t>街（东风大街）、硅谷大街、前进大街正在快速推进；数字信息通讯、水电气热等基础设施逐步实现共建共享，住房、就业、就医、养老、社会救助等福利政策逐步实现一体协同。</w:t>
      </w:r>
    </w:p>
    <w:p w14:paraId="47F9DDDD" w14:textId="77777777" w:rsidR="00501569" w:rsidRPr="00317922" w:rsidRDefault="00C74794" w:rsidP="00317922">
      <w:pPr>
        <w:ind w:firstLineChars="200" w:firstLine="643"/>
        <w:rPr>
          <w:rFonts w:ascii="仿宋_GB2312" w:eastAsia="仿宋_GB2312" w:hAnsi="仿宋_GB2312" w:cs="仿宋_GB2312"/>
          <w:color w:val="000000" w:themeColor="text1"/>
          <w:sz w:val="32"/>
          <w:szCs w:val="32"/>
        </w:rPr>
      </w:pPr>
      <w:r w:rsidRPr="00317922">
        <w:rPr>
          <w:rFonts w:ascii="仿宋_GB2312" w:eastAsia="仿宋_GB2312" w:hAnsi="仿宋_GB2312" w:cs="仿宋_GB2312" w:hint="eastAsia"/>
          <w:b/>
          <w:bCs/>
          <w:color w:val="000000" w:themeColor="text1"/>
          <w:sz w:val="32"/>
          <w:szCs w:val="32"/>
        </w:rPr>
        <w:t>经济综合实力实现新提升。</w:t>
      </w:r>
      <w:r w:rsidRPr="00317922">
        <w:rPr>
          <w:rFonts w:ascii="仿宋_GB2312" w:eastAsia="仿宋_GB2312" w:hAnsi="仿宋_GB2312" w:cs="仿宋_GB2312" w:hint="eastAsia"/>
          <w:color w:val="000000" w:themeColor="text1"/>
          <w:sz w:val="32"/>
          <w:szCs w:val="32"/>
        </w:rPr>
        <w:t>2</w:t>
      </w:r>
      <w:r w:rsidRPr="00317922">
        <w:rPr>
          <w:rFonts w:ascii="仿宋_GB2312" w:eastAsia="仿宋_GB2312" w:hAnsi="仿宋_GB2312" w:cs="仿宋_GB2312"/>
          <w:color w:val="000000" w:themeColor="text1"/>
          <w:sz w:val="32"/>
          <w:szCs w:val="32"/>
        </w:rPr>
        <w:t>020</w:t>
      </w:r>
      <w:r w:rsidRPr="00317922">
        <w:rPr>
          <w:rFonts w:ascii="仿宋_GB2312" w:eastAsia="仿宋_GB2312" w:hAnsi="仿宋_GB2312" w:cs="仿宋_GB2312" w:hint="eastAsia"/>
          <w:color w:val="000000" w:themeColor="text1"/>
          <w:sz w:val="32"/>
          <w:szCs w:val="32"/>
        </w:rPr>
        <w:t>年全市地区生产总值突破3</w:t>
      </w:r>
      <w:r w:rsidRPr="00317922">
        <w:rPr>
          <w:rFonts w:ascii="仿宋_GB2312" w:eastAsia="仿宋_GB2312" w:hAnsi="仿宋_GB2312" w:cs="仿宋_GB2312"/>
          <w:color w:val="000000" w:themeColor="text1"/>
          <w:sz w:val="32"/>
          <w:szCs w:val="32"/>
        </w:rPr>
        <w:t>00</w:t>
      </w:r>
      <w:r w:rsidRPr="00317922">
        <w:rPr>
          <w:rFonts w:ascii="仿宋_GB2312" w:eastAsia="仿宋_GB2312" w:hAnsi="仿宋_GB2312" w:cs="仿宋_GB2312" w:hint="eastAsia"/>
          <w:color w:val="000000" w:themeColor="text1"/>
          <w:sz w:val="32"/>
          <w:szCs w:val="32"/>
        </w:rPr>
        <w:t>亿元，经济总量在县域站排头</w:t>
      </w:r>
      <w:r w:rsidR="006403B9" w:rsidRPr="00317922">
        <w:rPr>
          <w:rFonts w:ascii="仿宋_GB2312" w:eastAsia="仿宋_GB2312" w:hAnsi="仿宋_GB2312" w:cs="仿宋_GB2312" w:hint="eastAsia"/>
          <w:color w:val="000000" w:themeColor="text1"/>
          <w:sz w:val="32"/>
          <w:szCs w:val="32"/>
        </w:rPr>
        <w:t>。</w:t>
      </w:r>
      <w:r w:rsidRPr="00317922">
        <w:rPr>
          <w:rFonts w:ascii="仿宋_GB2312" w:eastAsia="仿宋_GB2312" w:hAnsi="仿宋_GB2312" w:cs="仿宋_GB2312" w:hint="eastAsia"/>
          <w:color w:val="000000" w:themeColor="text1"/>
          <w:sz w:val="32"/>
          <w:szCs w:val="32"/>
        </w:rPr>
        <w:t>产业转型升级成效明显，汽车零部件产业加快向轻量化、智能化发展，农产品加工业加快向食品化、健康化发展，传统物流业向智慧化、专业化发展。技术改造、产业技术创新、新产品规模化生产三大计划深入实施，规上工业企业和国家高新技术企业分别发展到157户和19户。民营经济主营业务收入、新注册企业、个体工商户分别比2015年增长46.5%、25.3%、28.4%，全市发展活力和内生动力明显增强。</w:t>
      </w:r>
    </w:p>
    <w:p w14:paraId="57C13FC6" w14:textId="77777777" w:rsidR="00501569" w:rsidRDefault="00C74794" w:rsidP="000F74AA">
      <w:pPr>
        <w:pStyle w:val="2"/>
        <w:spacing w:line="240" w:lineRule="auto"/>
        <w:ind w:firstLineChars="0" w:firstLine="0"/>
        <w:rPr>
          <w:rFonts w:ascii="仿宋_GB2312" w:hAnsi="仿宋_GB2312" w:cs="仿宋_GB2312"/>
          <w:sz w:val="32"/>
          <w:szCs w:val="32"/>
        </w:rPr>
      </w:pPr>
      <w:r>
        <w:rPr>
          <w:rFonts w:ascii="仿宋_GB2312" w:hAnsi="仿宋_GB2312" w:cs="仿宋_GB2312" w:hint="eastAsia"/>
          <w:sz w:val="32"/>
          <w:szCs w:val="32"/>
        </w:rPr>
        <w:t xml:space="preserve">    </w:t>
      </w:r>
      <w:r>
        <w:rPr>
          <w:rFonts w:ascii="仿宋_GB2312" w:hAnsi="仿宋_GB2312" w:cs="仿宋_GB2312" w:hint="eastAsia"/>
          <w:b/>
          <w:sz w:val="32"/>
          <w:szCs w:val="32"/>
        </w:rPr>
        <w:t>三大攻坚战创造新成就。</w:t>
      </w:r>
      <w:r>
        <w:rPr>
          <w:rFonts w:ascii="仿宋_GB2312" w:hAnsi="仿宋_GB2312" w:cs="仿宋_GB2312" w:hint="eastAsia"/>
          <w:sz w:val="32"/>
          <w:szCs w:val="32"/>
        </w:rPr>
        <w:t>脱贫攻坚成效显著，</w:t>
      </w:r>
      <w:r>
        <w:rPr>
          <w:rFonts w:ascii="仿宋_GB2312" w:hAnsi="仿宋_GB2312" w:cs="仿宋_GB2312"/>
          <w:sz w:val="32"/>
          <w:szCs w:val="32"/>
        </w:rPr>
        <w:t>8个贫困村全部退出，10513名农村贫困人口全部脱贫，贫困人口安全饮水、危房改造实现全覆盖。生态环境明显改善，全面完成东辽河污染治理阶段性目标，彻底改变连续三年劣五类的被动局面。坚决守住重污染天气和空气质量达标两条底线</w:t>
      </w:r>
      <w:r>
        <w:rPr>
          <w:rFonts w:ascii="仿宋_GB2312" w:hAnsi="仿宋_GB2312" w:cs="仿宋_GB2312" w:hint="eastAsia"/>
          <w:sz w:val="32"/>
          <w:szCs w:val="32"/>
        </w:rPr>
        <w:t>，</w:t>
      </w:r>
      <w:r>
        <w:rPr>
          <w:rFonts w:ascii="仿宋_GB2312" w:hAnsi="仿宋_GB2312" w:cs="仿宋_GB2312"/>
          <w:sz w:val="32"/>
          <w:szCs w:val="32"/>
        </w:rPr>
        <w:t>全域禁止秸秆露天焚烧，基本达到零火点，空气质量优良天数保持在314天以上</w:t>
      </w:r>
      <w:r>
        <w:rPr>
          <w:rFonts w:ascii="仿宋_GB2312" w:hAnsi="仿宋_GB2312" w:cs="仿宋_GB2312" w:hint="eastAsia"/>
          <w:sz w:val="32"/>
          <w:szCs w:val="32"/>
        </w:rPr>
        <w:t>。</w:t>
      </w:r>
      <w:r>
        <w:rPr>
          <w:rFonts w:ascii="仿宋_GB2312" w:hAnsi="仿宋_GB2312" w:cs="仿宋_GB2312"/>
          <w:sz w:val="32"/>
          <w:szCs w:val="32"/>
        </w:rPr>
        <w:t>防范化解重大风险效果突出，政府隐性债务风险降到安全等级。</w:t>
      </w:r>
    </w:p>
    <w:p w14:paraId="2BB87CA0" w14:textId="77777777" w:rsidR="00501569" w:rsidRDefault="00C74794" w:rsidP="000F74AA">
      <w:pPr>
        <w:pStyle w:val="2"/>
        <w:spacing w:line="240" w:lineRule="auto"/>
        <w:ind w:firstLineChars="0" w:firstLine="0"/>
        <w:rPr>
          <w:rFonts w:ascii="仿宋_GB2312" w:hAnsi="仿宋_GB2312" w:cs="仿宋_GB2312"/>
          <w:sz w:val="32"/>
          <w:szCs w:val="32"/>
          <w:highlight w:val="yellow"/>
        </w:rPr>
      </w:pPr>
      <w:r>
        <w:rPr>
          <w:rFonts w:ascii="仿宋_GB2312" w:hAnsi="仿宋_GB2312" w:cs="仿宋_GB2312" w:hint="eastAsia"/>
          <w:sz w:val="32"/>
          <w:szCs w:val="32"/>
        </w:rPr>
        <w:t xml:space="preserve">    </w:t>
      </w:r>
      <w:r>
        <w:rPr>
          <w:rFonts w:ascii="仿宋_GB2312" w:hAnsi="仿宋_GB2312" w:cs="仿宋_GB2312" w:hint="eastAsia"/>
          <w:b/>
          <w:sz w:val="32"/>
          <w:szCs w:val="32"/>
        </w:rPr>
        <w:t>乡村振兴发展呈现新面貌。</w:t>
      </w:r>
      <w:r>
        <w:rPr>
          <w:rFonts w:ascii="仿宋_GB2312" w:hAnsi="仿宋_GB2312" w:cs="仿宋_GB2312" w:hint="eastAsia"/>
          <w:sz w:val="32"/>
          <w:szCs w:val="32"/>
        </w:rPr>
        <w:t>农林牧渔总产值达到153亿元；粮食产量稳定在60亿斤以上阶段性水平，总产一直位居</w:t>
      </w:r>
      <w:r>
        <w:rPr>
          <w:rFonts w:ascii="仿宋_GB2312" w:hAnsi="仿宋_GB2312" w:cs="仿宋_GB2312" w:hint="eastAsia"/>
          <w:sz w:val="32"/>
          <w:szCs w:val="32"/>
        </w:rPr>
        <w:lastRenderedPageBreak/>
        <w:t>全国前列，玉米单产位居全国之首；主要农作物综合机械化水平达到95%，在全省率先实现农业机械化；实施黑土地保护60万亩，高标准农田达到120万亩；年销售种子1.4亿斤以上，成为全省乃至东北三省的种子集散地和交流中心；形成了以农嫂、德乐、祥裕、吉农绿色等企业为支撑的鲜食玉米产业集群，</w:t>
      </w:r>
      <w:r w:rsidR="0061488E">
        <w:rPr>
          <w:rFonts w:ascii="仿宋_GB2312" w:hAnsi="仿宋_GB2312" w:cs="仿宋_GB2312" w:hint="eastAsia"/>
          <w:sz w:val="32"/>
          <w:szCs w:val="32"/>
        </w:rPr>
        <w:t>年</w:t>
      </w:r>
      <w:r>
        <w:rPr>
          <w:rFonts w:ascii="仿宋_GB2312" w:hAnsi="仿宋_GB2312" w:cs="仿宋_GB2312" w:hint="eastAsia"/>
          <w:sz w:val="32"/>
          <w:szCs w:val="32"/>
        </w:rPr>
        <w:t>产值达</w:t>
      </w:r>
      <w:r w:rsidR="0061488E">
        <w:rPr>
          <w:rFonts w:ascii="仿宋_GB2312" w:hAnsi="仿宋_GB2312" w:cs="仿宋_GB2312" w:hint="eastAsia"/>
          <w:sz w:val="32"/>
          <w:szCs w:val="32"/>
        </w:rPr>
        <w:t>1</w:t>
      </w:r>
      <w:r w:rsidR="0061488E">
        <w:rPr>
          <w:rFonts w:ascii="仿宋_GB2312" w:hAnsi="仿宋_GB2312" w:cs="仿宋_GB2312"/>
          <w:sz w:val="32"/>
          <w:szCs w:val="32"/>
        </w:rPr>
        <w:t>4</w:t>
      </w:r>
      <w:r>
        <w:rPr>
          <w:rFonts w:ascii="仿宋_GB2312" w:hAnsi="仿宋_GB2312" w:cs="仿宋_GB2312" w:hint="eastAsia"/>
          <w:sz w:val="32"/>
          <w:szCs w:val="32"/>
        </w:rPr>
        <w:t>亿元以上；设施园艺产业蓬勃发展，棚室总面积发展到3.53万亩，集中连片规模化园区60个，年产值达12亿元以上；农民专业合作社发展到5430个，家庭农场发展到1114家；开展“三清一改”行动，乡村环境和面貌明显改观；完成农村土地承包经营权确权登记颁证试点任务，集体资产产权制度改革稳步推进。</w:t>
      </w:r>
    </w:p>
    <w:p w14:paraId="5F91DCF7" w14:textId="77777777" w:rsidR="00501569" w:rsidRDefault="00C74794" w:rsidP="000F74AA">
      <w:pPr>
        <w:pStyle w:val="2"/>
        <w:spacing w:line="240" w:lineRule="auto"/>
        <w:ind w:firstLine="643"/>
        <w:rPr>
          <w:rFonts w:ascii="仿宋_GB2312" w:hAnsi="仿宋_GB2312" w:cs="仿宋_GB2312"/>
          <w:sz w:val="32"/>
          <w:szCs w:val="32"/>
        </w:rPr>
      </w:pPr>
      <w:r>
        <w:rPr>
          <w:rFonts w:ascii="仿宋_GB2312" w:hAnsi="仿宋_GB2312" w:cs="仿宋_GB2312" w:hint="eastAsia"/>
          <w:b/>
          <w:sz w:val="32"/>
          <w:szCs w:val="32"/>
        </w:rPr>
        <w:t>改革开放合作迈上新台阶。</w:t>
      </w:r>
      <w:r>
        <w:rPr>
          <w:rFonts w:ascii="仿宋_GB2312" w:hAnsi="仿宋_GB2312" w:cs="仿宋_GB2312" w:hint="eastAsia"/>
          <w:sz w:val="32"/>
          <w:szCs w:val="32"/>
        </w:rPr>
        <w:t>扩权强县改革试点优势充分释放，“放管服”和“最多跑一次”改革持续深化，“一窗受理、集成服务”不断完善，“一网通办”加快推行，实现大厅之外无审批，企业开办时间压缩到</w:t>
      </w:r>
      <w:r>
        <w:rPr>
          <w:rFonts w:ascii="仿宋_GB2312" w:hAnsi="仿宋_GB2312" w:cs="仿宋_GB2312"/>
          <w:sz w:val="32"/>
          <w:szCs w:val="32"/>
        </w:rPr>
        <w:t>3个工作日，一般投资项目审批时间由180个工作日压缩到50个工作日</w:t>
      </w:r>
      <w:r>
        <w:rPr>
          <w:rFonts w:ascii="仿宋_GB2312" w:hAnsi="仿宋_GB2312" w:cs="仿宋_GB2312" w:hint="eastAsia"/>
          <w:sz w:val="32"/>
          <w:szCs w:val="32"/>
        </w:rPr>
        <w:t>，企业和群众办事更加方便快捷</w:t>
      </w:r>
      <w:r>
        <w:rPr>
          <w:rFonts w:ascii="仿宋_GB2312" w:hAnsi="仿宋_GB2312" w:cs="仿宋_GB2312"/>
          <w:sz w:val="32"/>
          <w:szCs w:val="32"/>
        </w:rPr>
        <w:t>。</w:t>
      </w:r>
      <w:r>
        <w:rPr>
          <w:rFonts w:ascii="仿宋_GB2312" w:hAnsi="仿宋_GB2312" w:cs="仿宋_GB2312" w:hint="eastAsia"/>
          <w:sz w:val="32"/>
          <w:szCs w:val="32"/>
        </w:rPr>
        <w:t>民营经济主营业务收入在全省各县市中持续处于领跑地位。</w:t>
      </w:r>
      <w:r>
        <w:rPr>
          <w:rFonts w:ascii="仿宋_GB2312" w:hAnsi="仿宋_GB2312" w:cs="仿宋_GB2312"/>
          <w:sz w:val="32"/>
          <w:szCs w:val="32"/>
        </w:rPr>
        <w:t>投融资体制改革深入推进，政府和社会资本合作模式受到国务院表彰。</w:t>
      </w:r>
      <w:r>
        <w:rPr>
          <w:rFonts w:ascii="仿宋_GB2312" w:hAnsi="仿宋_GB2312" w:cs="仿宋_GB2312" w:hint="eastAsia"/>
          <w:sz w:val="32"/>
          <w:szCs w:val="32"/>
        </w:rPr>
        <w:t>党政机构改革圆满完成，政府服务效能和服务水平全面提升。与浙江对口合作平台建设、项目引进和经贸交流等各领域成果丰硕，达</w:t>
      </w:r>
      <w:r w:rsidR="00716354">
        <w:rPr>
          <w:rFonts w:ascii="仿宋_GB2312" w:hAnsi="仿宋_GB2312" w:cs="仿宋_GB2312" w:hint="eastAsia"/>
          <w:sz w:val="32"/>
          <w:szCs w:val="32"/>
        </w:rPr>
        <w:t>成</w:t>
      </w:r>
      <w:r>
        <w:rPr>
          <w:rFonts w:ascii="仿宋_GB2312" w:hAnsi="仿宋_GB2312" w:cs="仿宋_GB2312" w:hint="eastAsia"/>
          <w:sz w:val="32"/>
          <w:szCs w:val="32"/>
        </w:rPr>
        <w:t>重要合作20多项，实际到位资金36亿元。</w:t>
      </w:r>
    </w:p>
    <w:p w14:paraId="79D6DD92" w14:textId="77777777" w:rsidR="00501569" w:rsidRDefault="00C74794" w:rsidP="000F74AA">
      <w:pPr>
        <w:pStyle w:val="2"/>
        <w:spacing w:line="240" w:lineRule="auto"/>
        <w:ind w:firstLineChars="0" w:firstLine="0"/>
        <w:rPr>
          <w:rFonts w:ascii="仿宋_GB2312" w:hAnsi="仿宋_GB2312"/>
          <w:bCs/>
          <w:color w:val="000000"/>
          <w:sz w:val="32"/>
          <w:szCs w:val="32"/>
        </w:rPr>
      </w:pPr>
      <w:r>
        <w:rPr>
          <w:rFonts w:ascii="仿宋_GB2312" w:hAnsi="仿宋_GB2312" w:cs="仿宋_GB2312" w:hint="eastAsia"/>
          <w:sz w:val="32"/>
          <w:szCs w:val="32"/>
        </w:rPr>
        <w:lastRenderedPageBreak/>
        <w:t xml:space="preserve">    </w:t>
      </w:r>
      <w:r>
        <w:rPr>
          <w:rFonts w:ascii="仿宋_GB2312" w:hAnsi="仿宋_GB2312" w:cs="仿宋_GB2312"/>
          <w:b/>
          <w:bCs/>
          <w:color w:val="000000"/>
          <w:sz w:val="32"/>
          <w:szCs w:val="32"/>
        </w:rPr>
        <w:t>人民群众获得感幸福感安全感明显增强。</w:t>
      </w:r>
      <w:r>
        <w:rPr>
          <w:rFonts w:ascii="仿宋_GB2312" w:hAnsi="仿宋_GB2312" w:cs="仿宋_GB2312" w:hint="eastAsia"/>
          <w:sz w:val="32"/>
          <w:szCs w:val="32"/>
        </w:rPr>
        <w:t>预计到“十三五”末，城乡常住居民人均可支配收入实现比</w:t>
      </w:r>
      <w:r>
        <w:rPr>
          <w:rFonts w:ascii="仿宋_GB2312" w:hAnsi="仿宋_GB2312" w:cs="仿宋_GB2312"/>
          <w:sz w:val="32"/>
          <w:szCs w:val="32"/>
        </w:rPr>
        <w:t>2010</w:t>
      </w:r>
      <w:r>
        <w:rPr>
          <w:rFonts w:ascii="仿宋_GB2312" w:hAnsi="仿宋_GB2312" w:cs="仿宋_GB2312" w:hint="eastAsia"/>
          <w:sz w:val="32"/>
          <w:szCs w:val="32"/>
        </w:rPr>
        <w:t>年翻一番目标</w:t>
      </w:r>
      <w:r>
        <w:rPr>
          <w:rFonts w:ascii="仿宋_GB2312" w:hAnsi="仿宋_GB2312" w:cs="仿宋_GB2312"/>
          <w:sz w:val="32"/>
          <w:szCs w:val="32"/>
        </w:rPr>
        <w:t>。</w:t>
      </w:r>
      <w:r>
        <w:rPr>
          <w:rFonts w:ascii="仿宋_GB2312" w:hAnsi="仿宋_GB2312" w:cs="仿宋_GB2312" w:hint="eastAsia"/>
          <w:sz w:val="32"/>
          <w:szCs w:val="32"/>
        </w:rPr>
        <w:t>城乡居民低保标准提标扩面，分别增长</w:t>
      </w:r>
      <w:r>
        <w:rPr>
          <w:rFonts w:ascii="仿宋_GB2312" w:hAnsi="仿宋_GB2312" w:cs="仿宋_GB2312"/>
          <w:sz w:val="32"/>
          <w:szCs w:val="32"/>
        </w:rPr>
        <w:t>28%</w:t>
      </w:r>
      <w:r>
        <w:rPr>
          <w:rFonts w:ascii="仿宋_GB2312" w:hAnsi="仿宋_GB2312" w:cs="仿宋_GB2312" w:hint="eastAsia"/>
          <w:sz w:val="32"/>
          <w:szCs w:val="32"/>
        </w:rPr>
        <w:t>和</w:t>
      </w:r>
      <w:r>
        <w:rPr>
          <w:rFonts w:ascii="仿宋_GB2312" w:hAnsi="仿宋_GB2312" w:cs="仿宋_GB2312"/>
          <w:sz w:val="32"/>
          <w:szCs w:val="32"/>
        </w:rPr>
        <w:t>18%</w:t>
      </w:r>
      <w:r>
        <w:rPr>
          <w:rFonts w:ascii="仿宋_GB2312" w:hAnsi="仿宋_GB2312" w:cs="仿宋_GB2312" w:hint="eastAsia"/>
          <w:sz w:val="32"/>
          <w:szCs w:val="32"/>
        </w:rPr>
        <w:t>。</w:t>
      </w:r>
      <w:r w:rsidR="00832284">
        <w:rPr>
          <w:rFonts w:ascii="仿宋_GB2312" w:hAnsi="仿宋_GB2312" w:cs="仿宋_GB2312" w:hint="eastAsia"/>
          <w:sz w:val="32"/>
          <w:szCs w:val="32"/>
        </w:rPr>
        <w:t>强力推进</w:t>
      </w:r>
      <w:r>
        <w:rPr>
          <w:rFonts w:ascii="仿宋_GB2312" w:hAnsi="仿宋_GB2312" w:cs="仿宋_GB2312" w:hint="eastAsia"/>
          <w:sz w:val="32"/>
          <w:szCs w:val="32"/>
        </w:rPr>
        <w:t>棚户区</w:t>
      </w:r>
      <w:r w:rsidR="00832284">
        <w:rPr>
          <w:rFonts w:ascii="仿宋_GB2312" w:hAnsi="仿宋_GB2312" w:cs="仿宋_GB2312" w:hint="eastAsia"/>
          <w:sz w:val="32"/>
          <w:szCs w:val="32"/>
        </w:rPr>
        <w:t>改造</w:t>
      </w:r>
      <w:r>
        <w:rPr>
          <w:rFonts w:ascii="仿宋_GB2312" w:hAnsi="仿宋_GB2312" w:cs="仿宋_GB2312" w:hint="eastAsia"/>
          <w:sz w:val="32"/>
          <w:szCs w:val="32"/>
        </w:rPr>
        <w:t>、老旧小区</w:t>
      </w:r>
      <w:r w:rsidR="00832284">
        <w:rPr>
          <w:rFonts w:ascii="仿宋_GB2312" w:hAnsi="仿宋_GB2312" w:cs="仿宋_GB2312" w:hint="eastAsia"/>
          <w:sz w:val="32"/>
          <w:szCs w:val="32"/>
        </w:rPr>
        <w:t>改造</w:t>
      </w:r>
      <w:r>
        <w:rPr>
          <w:rFonts w:ascii="仿宋_GB2312" w:hAnsi="仿宋_GB2312" w:cs="仿宋_GB2312" w:hint="eastAsia"/>
          <w:sz w:val="32"/>
          <w:szCs w:val="32"/>
        </w:rPr>
        <w:t>、农村危房</w:t>
      </w:r>
      <w:r w:rsidR="00832284">
        <w:rPr>
          <w:rFonts w:ascii="仿宋_GB2312" w:hAnsi="仿宋_GB2312" w:cs="仿宋_GB2312" w:hint="eastAsia"/>
          <w:sz w:val="32"/>
          <w:szCs w:val="32"/>
        </w:rPr>
        <w:t>改造</w:t>
      </w:r>
      <w:r>
        <w:rPr>
          <w:rFonts w:ascii="仿宋_GB2312" w:hAnsi="仿宋_GB2312" w:cs="仿宋_GB2312" w:hint="eastAsia"/>
          <w:sz w:val="32"/>
          <w:szCs w:val="32"/>
        </w:rPr>
        <w:t>，</w:t>
      </w:r>
      <w:r w:rsidR="00832284">
        <w:rPr>
          <w:rFonts w:ascii="仿宋_GB2312" w:hAnsi="仿宋_GB2312" w:cs="仿宋_GB2312" w:hint="eastAsia"/>
          <w:sz w:val="32"/>
          <w:szCs w:val="32"/>
        </w:rPr>
        <w:t>实施暖房子工程，</w:t>
      </w:r>
      <w:r>
        <w:rPr>
          <w:rFonts w:ascii="仿宋_GB2312" w:hAnsi="仿宋_GB2312" w:cs="仿宋_GB2312" w:hint="eastAsia"/>
          <w:sz w:val="32"/>
          <w:szCs w:val="32"/>
        </w:rPr>
        <w:t>城乡居民住房条件得到明显改善。企业安全生产被评为全省标准化样板市，防震减灾工作被评为国家先进市。全面夺取防控新冠肺炎疫情和复工复产复商复市复学双胜利，扫黑除恶成果突出，顺应民意赢得民心，社会大局和谐稳定。</w:t>
      </w:r>
    </w:p>
    <w:p w14:paraId="42FF352E" w14:textId="77777777" w:rsidR="00501569" w:rsidRDefault="00C74794" w:rsidP="000F74AA">
      <w:pPr>
        <w:ind w:firstLineChars="200" w:firstLine="640"/>
        <w:rPr>
          <w:rFonts w:ascii="仿宋_GB2312" w:eastAsia="仿宋_GB2312" w:hAnsi="仿宋_GB2312" w:cs="仿宋_GB2312"/>
          <w:bCs/>
          <w:color w:val="000000"/>
          <w:sz w:val="32"/>
          <w:szCs w:val="32"/>
        </w:rPr>
      </w:pPr>
      <w:r>
        <w:rPr>
          <w:rFonts w:ascii="仿宋_GB2312" w:eastAsia="仿宋_GB2312" w:hAnsi="仿宋_GB2312" w:hint="eastAsia"/>
          <w:bCs/>
          <w:color w:val="000000"/>
          <w:sz w:val="32"/>
          <w:szCs w:val="32"/>
        </w:rPr>
        <w:t>五年来的改革是深层次的、根本性的，五年来的发展是全方位的、开创性的，五年来的成就是得到全市人民认可、经得起历史检验的。</w:t>
      </w:r>
      <w:r>
        <w:rPr>
          <w:rFonts w:ascii="仿宋_GB2312" w:eastAsia="仿宋_GB2312" w:hAnsi="仿宋_GB2312" w:cs="仿宋_GB2312" w:hint="eastAsia"/>
          <w:color w:val="000000" w:themeColor="text1"/>
          <w:kern w:val="0"/>
          <w:sz w:val="32"/>
          <w:szCs w:val="32"/>
        </w:rPr>
        <w:t>“十三五”取得的成就，是坚决贯彻习近平新时代中国特色社会主义思想的结果，是深入落实习近平总书记关于东北振兴和视察吉林重要指示批示精神的结果，是吉林省委省政府、长春市委市政府坚强领导、凝心聚力的结果，更是全市广大干部群众团结一心、砥砺奋进的结果。</w:t>
      </w:r>
      <w:r>
        <w:rPr>
          <w:rFonts w:ascii="仿宋_GB2312" w:eastAsia="仿宋_GB2312" w:hAnsi="仿宋_GB2312" w:cs="仿宋_GB2312" w:hint="eastAsia"/>
          <w:bCs/>
          <w:color w:val="000000"/>
          <w:sz w:val="32"/>
          <w:szCs w:val="32"/>
        </w:rPr>
        <w:t>成绩来之不易，经验弥足珍贵，需要倍加珍惜。</w:t>
      </w:r>
      <w:r>
        <w:rPr>
          <w:rFonts w:ascii="仿宋_GB2312" w:eastAsia="仿宋_GB2312" w:hAnsi="仿宋_GB2312" w:cs="仿宋_GB2312" w:hint="eastAsia"/>
          <w:color w:val="000000" w:themeColor="text1"/>
          <w:sz w:val="32"/>
          <w:szCs w:val="32"/>
        </w:rPr>
        <w:t>“十三五”规划圆满收官，为我市“十四五”振兴发展奠定了坚实的思想基础和物质基础。</w:t>
      </w:r>
      <w:r>
        <w:rPr>
          <w:rFonts w:ascii="仿宋_GB2312" w:eastAsia="仿宋_GB2312" w:hAnsi="仿宋_GB2312" w:cs="仿宋_GB2312" w:hint="eastAsia"/>
          <w:bCs/>
          <w:sz w:val="32"/>
          <w:szCs w:val="32"/>
        </w:rPr>
        <w:t>公主岭将以全新身份、全新战略、全新面貌，奋力开启“十四五”全面振兴全方位振兴发展的新征程。</w:t>
      </w:r>
    </w:p>
    <w:bookmarkEnd w:id="2"/>
    <w:p w14:paraId="53A80B63" w14:textId="77777777" w:rsidR="00501569" w:rsidRDefault="00C74794" w:rsidP="000F74A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bCs/>
          <w:color w:val="000000"/>
          <w:sz w:val="32"/>
          <w:szCs w:val="32"/>
        </w:rPr>
        <w:t>在总结成就的同时，也要清醒看到，面对内外部环境变</w:t>
      </w:r>
      <w:r>
        <w:rPr>
          <w:rFonts w:ascii="仿宋_GB2312" w:eastAsia="仿宋_GB2312" w:hAnsi="仿宋_GB2312" w:cs="仿宋_GB2312" w:hint="eastAsia"/>
          <w:bCs/>
          <w:color w:val="000000"/>
          <w:sz w:val="32"/>
          <w:szCs w:val="32"/>
        </w:rPr>
        <w:lastRenderedPageBreak/>
        <w:t>化，对标高质量发展要求，发展不平衡不充分突出问题和深层次矛盾尚未解决，长期存在着“四大短板”。</w:t>
      </w:r>
      <w:r>
        <w:rPr>
          <w:rFonts w:ascii="仿宋_GB2312" w:eastAsia="仿宋_GB2312" w:hAnsi="仿宋_GB2312" w:cs="仿宋_GB2312" w:hint="eastAsia"/>
          <w:b/>
          <w:color w:val="000000"/>
          <w:sz w:val="32"/>
          <w:szCs w:val="32"/>
        </w:rPr>
        <w:t>一是体制机制短板。</w:t>
      </w:r>
      <w:r>
        <w:rPr>
          <w:rFonts w:ascii="仿宋_GB2312" w:eastAsia="仿宋_GB2312" w:hAnsi="仿宋_GB2312" w:cs="仿宋_GB2312" w:hint="eastAsia"/>
          <w:sz w:val="32"/>
          <w:szCs w:val="32"/>
        </w:rPr>
        <w:t>营商环境优化</w:t>
      </w:r>
      <w:r w:rsidR="00C549DB">
        <w:rPr>
          <w:rFonts w:ascii="仿宋_GB2312" w:eastAsia="仿宋_GB2312" w:hAnsi="仿宋_GB2312" w:cs="仿宋_GB2312" w:hint="eastAsia"/>
          <w:sz w:val="32"/>
          <w:szCs w:val="32"/>
        </w:rPr>
        <w:t>力度不够</w:t>
      </w:r>
      <w:r>
        <w:rPr>
          <w:rFonts w:ascii="仿宋_GB2312" w:eastAsia="仿宋_GB2312" w:hAnsi="仿宋_GB2312" w:cs="仿宋_GB2312" w:hint="eastAsia"/>
          <w:sz w:val="32"/>
          <w:szCs w:val="32"/>
        </w:rPr>
        <w:t>，重商、亲商氛围不浓，还存在改善空间。</w:t>
      </w:r>
      <w:r>
        <w:rPr>
          <w:rFonts w:ascii="仿宋_GB2312" w:eastAsia="仿宋_GB2312" w:hAnsi="仿宋_GB2312" w:cs="仿宋_GB2312" w:hint="eastAsia"/>
          <w:sz w:val="32"/>
        </w:rPr>
        <w:t>企业融资难、融资贵问题突出。正向</w:t>
      </w:r>
      <w:r>
        <w:rPr>
          <w:rFonts w:ascii="仿宋_GB2312" w:eastAsia="仿宋_GB2312" w:hAnsi="仿宋_GB2312" w:cs="仿宋_GB2312" w:hint="eastAsia"/>
          <w:sz w:val="32"/>
          <w:szCs w:val="32"/>
        </w:rPr>
        <w:t>激励机制不健全，</w:t>
      </w:r>
      <w:r>
        <w:rPr>
          <w:rFonts w:ascii="仿宋_GB2312" w:eastAsia="仿宋_GB2312" w:hAnsi="仿宋_GB2312" w:cs="仿宋_GB2312" w:hint="eastAsia"/>
          <w:bCs/>
          <w:color w:val="000000"/>
          <w:sz w:val="32"/>
          <w:szCs w:val="32"/>
        </w:rPr>
        <w:t>人才使用机制不够灵活，人口</w:t>
      </w:r>
      <w:r>
        <w:rPr>
          <w:rFonts w:ascii="仿宋_GB2312" w:eastAsia="仿宋_GB2312" w:hAnsi="仿宋_GB2312" w:cs="仿宋_GB2312" w:hint="eastAsia"/>
          <w:sz w:val="32"/>
        </w:rPr>
        <w:t>人才流失问题依然突出，创新创业各类要素还不完备。</w:t>
      </w:r>
      <w:r>
        <w:rPr>
          <w:rFonts w:ascii="仿宋_GB2312" w:eastAsia="仿宋_GB2312" w:hAnsi="仿宋_GB2312" w:cs="仿宋_GB2312" w:hint="eastAsia"/>
          <w:b/>
          <w:bCs/>
          <w:sz w:val="32"/>
          <w:szCs w:val="32"/>
        </w:rPr>
        <w:t>二是经济结构短板。</w:t>
      </w:r>
      <w:r>
        <w:rPr>
          <w:rFonts w:ascii="仿宋_GB2312" w:eastAsia="仿宋_GB2312" w:hAnsi="仿宋_GB2312" w:cs="仿宋_GB2312" w:hint="eastAsia"/>
          <w:sz w:val="32"/>
          <w:szCs w:val="32"/>
        </w:rPr>
        <w:t>汽车零部件、农产品加工、物流三大产业相对低端，附加值低，配套集群能力弱，产业链条短，对外部经济环境依赖性强。现代服务业和</w:t>
      </w:r>
      <w:r>
        <w:rPr>
          <w:rFonts w:ascii="仿宋_GB2312" w:eastAsia="仿宋_GB2312" w:hAnsi="仿宋_GB2312" w:cs="仿宋_GB2312" w:hint="eastAsia"/>
          <w:sz w:val="32"/>
        </w:rPr>
        <w:t>新动能规模体量不够，新兴</w:t>
      </w:r>
      <w:r>
        <w:rPr>
          <w:rFonts w:ascii="仿宋_GB2312" w:eastAsia="仿宋_GB2312" w:hAnsi="仿宋_GB2312" w:cs="仿宋_GB2312"/>
          <w:sz w:val="32"/>
        </w:rPr>
        <w:t>产业支撑能力不足</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sz w:val="32"/>
        </w:rPr>
        <w:t>民营经济发展不充分。中心城区“有城无产”和环长城镇带“有产无城”并存，产城融合不紧密。</w:t>
      </w:r>
      <w:r>
        <w:rPr>
          <w:rFonts w:ascii="仿宋_GB2312" w:eastAsia="仿宋_GB2312" w:hAnsi="仿宋_GB2312" w:cs="仿宋_GB2312" w:hint="eastAsia"/>
          <w:b/>
          <w:color w:val="000000"/>
          <w:sz w:val="32"/>
          <w:szCs w:val="32"/>
        </w:rPr>
        <w:t>三是开放合作短板。</w:t>
      </w:r>
      <w:r>
        <w:rPr>
          <w:rFonts w:ascii="仿宋_GB2312" w:eastAsia="仿宋_GB2312" w:hAnsi="仿宋_GB2312" w:cs="仿宋_GB2312" w:hint="eastAsia"/>
          <w:bCs/>
          <w:color w:val="000000"/>
          <w:sz w:val="32"/>
          <w:szCs w:val="32"/>
        </w:rPr>
        <w:t>开放步伐不大，贸易</w:t>
      </w:r>
      <w:r>
        <w:rPr>
          <w:rFonts w:ascii="仿宋_GB2312" w:eastAsia="仿宋_GB2312" w:hAnsi="仿宋_GB2312" w:cs="仿宋_GB2312"/>
          <w:bCs/>
          <w:color w:val="000000"/>
          <w:sz w:val="32"/>
          <w:szCs w:val="32"/>
        </w:rPr>
        <w:t>投资规模小</w:t>
      </w:r>
      <w:r>
        <w:rPr>
          <w:rFonts w:ascii="仿宋_GB2312" w:eastAsia="仿宋_GB2312" w:hAnsi="仿宋_GB2312" w:cs="仿宋_GB2312" w:hint="eastAsia"/>
          <w:bCs/>
          <w:color w:val="000000"/>
          <w:sz w:val="32"/>
          <w:szCs w:val="32"/>
        </w:rPr>
        <w:t>，经济</w:t>
      </w:r>
      <w:r>
        <w:rPr>
          <w:rFonts w:ascii="仿宋_GB2312" w:eastAsia="仿宋_GB2312" w:hAnsi="仿宋_GB2312" w:cs="仿宋_GB2312"/>
          <w:bCs/>
          <w:color w:val="000000"/>
          <w:sz w:val="32"/>
          <w:szCs w:val="32"/>
        </w:rPr>
        <w:t>外向度</w:t>
      </w:r>
      <w:r>
        <w:rPr>
          <w:rFonts w:ascii="仿宋_GB2312" w:eastAsia="仿宋_GB2312" w:hAnsi="仿宋_GB2312" w:cs="仿宋_GB2312" w:hint="eastAsia"/>
          <w:bCs/>
          <w:color w:val="000000"/>
          <w:sz w:val="32"/>
          <w:szCs w:val="32"/>
        </w:rPr>
        <w:t>和对外合作紧密度</w:t>
      </w:r>
      <w:r>
        <w:rPr>
          <w:rFonts w:ascii="仿宋_GB2312" w:eastAsia="仿宋_GB2312" w:hAnsi="仿宋_GB2312" w:cs="仿宋_GB2312"/>
          <w:bCs/>
          <w:color w:val="000000"/>
          <w:sz w:val="32"/>
          <w:szCs w:val="32"/>
        </w:rPr>
        <w:t>低，</w:t>
      </w:r>
      <w:r>
        <w:rPr>
          <w:rFonts w:ascii="仿宋_GB2312" w:eastAsia="仿宋_GB2312" w:hAnsi="仿宋_GB2312" w:cs="仿宋_GB2312" w:hint="eastAsia"/>
          <w:bCs/>
          <w:color w:val="000000"/>
          <w:sz w:val="32"/>
          <w:szCs w:val="32"/>
        </w:rPr>
        <w:t>尚没有</w:t>
      </w:r>
      <w:r>
        <w:rPr>
          <w:rFonts w:ascii="仿宋_GB2312" w:eastAsia="仿宋_GB2312" w:hAnsi="仿宋_GB2312" w:cs="仿宋_GB2312"/>
          <w:bCs/>
          <w:color w:val="000000"/>
          <w:sz w:val="32"/>
          <w:szCs w:val="32"/>
        </w:rPr>
        <w:t>建立</w:t>
      </w:r>
      <w:r>
        <w:rPr>
          <w:rFonts w:ascii="仿宋_GB2312" w:eastAsia="仿宋_GB2312" w:hAnsi="仿宋_GB2312" w:cs="仿宋_GB2312" w:hint="eastAsia"/>
          <w:bCs/>
          <w:color w:val="000000"/>
          <w:sz w:val="32"/>
          <w:szCs w:val="32"/>
        </w:rPr>
        <w:t>有效开放</w:t>
      </w:r>
      <w:r>
        <w:rPr>
          <w:rFonts w:ascii="仿宋_GB2312" w:eastAsia="仿宋_GB2312" w:hAnsi="仿宋_GB2312" w:cs="仿宋_GB2312"/>
          <w:bCs/>
          <w:color w:val="000000"/>
          <w:sz w:val="32"/>
          <w:szCs w:val="32"/>
        </w:rPr>
        <w:t>平台</w:t>
      </w:r>
      <w:r>
        <w:rPr>
          <w:rFonts w:ascii="仿宋_GB2312" w:eastAsia="仿宋_GB2312" w:hAnsi="仿宋_GB2312" w:cs="仿宋_GB2312" w:hint="eastAsia"/>
          <w:bCs/>
          <w:color w:val="000000"/>
          <w:sz w:val="32"/>
          <w:szCs w:val="32"/>
        </w:rPr>
        <w:t>载体。开发区发展质量效益和产出效率与长春市各主要开发区相比，还存在较大差距，土地利用效率不高。发展活力不足、氛围不浓，亟需拓展开放合作空间。</w:t>
      </w:r>
      <w:r>
        <w:rPr>
          <w:rFonts w:ascii="仿宋_GB2312" w:eastAsia="仿宋_GB2312" w:hAnsi="仿宋_GB2312" w:cs="仿宋_GB2312" w:hint="eastAsia"/>
          <w:b/>
          <w:color w:val="000000"/>
          <w:sz w:val="32"/>
          <w:szCs w:val="32"/>
        </w:rPr>
        <w:t>四是思想观念短板。</w:t>
      </w:r>
      <w:r>
        <w:rPr>
          <w:rFonts w:ascii="仿宋_GB2312" w:eastAsia="仿宋_GB2312" w:hAnsi="仿宋_GB2312" w:cs="仿宋_GB2312" w:hint="eastAsia"/>
          <w:bCs/>
          <w:color w:val="000000"/>
          <w:sz w:val="32"/>
          <w:szCs w:val="32"/>
        </w:rPr>
        <w:t>部分干部责任担当意识不强，</w:t>
      </w:r>
      <w:r>
        <w:rPr>
          <w:rFonts w:ascii="仿宋_GB2312" w:eastAsia="仿宋_GB2312" w:hAnsi="仿宋_GB2312" w:cs="仿宋_GB2312" w:hint="eastAsia"/>
          <w:sz w:val="32"/>
          <w:szCs w:val="32"/>
        </w:rPr>
        <w:t>积极性、</w:t>
      </w:r>
      <w:r>
        <w:rPr>
          <w:rFonts w:ascii="仿宋_GB2312" w:eastAsia="仿宋_GB2312" w:hAnsi="仿宋_GB2312" w:cs="仿宋_GB2312" w:hint="eastAsia"/>
          <w:bCs/>
          <w:color w:val="000000"/>
          <w:sz w:val="32"/>
          <w:szCs w:val="32"/>
        </w:rPr>
        <w:t>创造性</w:t>
      </w:r>
      <w:r>
        <w:rPr>
          <w:rFonts w:ascii="仿宋_GB2312" w:eastAsia="仿宋_GB2312" w:hAnsi="仿宋_GB2312" w:cs="仿宋_GB2312" w:hint="eastAsia"/>
          <w:sz w:val="32"/>
          <w:szCs w:val="32"/>
        </w:rPr>
        <w:t>和主动性</w:t>
      </w:r>
      <w:r>
        <w:rPr>
          <w:rFonts w:ascii="仿宋_GB2312" w:eastAsia="仿宋_GB2312" w:hAnsi="仿宋_GB2312" w:cs="仿宋_GB2312" w:hint="eastAsia"/>
          <w:bCs/>
          <w:color w:val="000000"/>
          <w:sz w:val="32"/>
          <w:szCs w:val="32"/>
        </w:rPr>
        <w:t>不足，谋划工作思考少、行动慢、成效不明显，推动振兴发展的内生动力有待加强。</w:t>
      </w:r>
    </w:p>
    <w:p w14:paraId="70C9C175" w14:textId="77777777" w:rsidR="00501569" w:rsidRPr="007F02F9" w:rsidRDefault="00C74794" w:rsidP="0045498C">
      <w:pPr>
        <w:spacing w:beforeLines="50" w:before="156" w:afterLines="50" w:after="156"/>
        <w:jc w:val="center"/>
        <w:outlineLvl w:val="1"/>
        <w:rPr>
          <w:rFonts w:ascii="黑体" w:eastAsia="黑体" w:hAnsi="黑体"/>
          <w:b/>
          <w:sz w:val="32"/>
          <w:szCs w:val="32"/>
        </w:rPr>
      </w:pPr>
      <w:bookmarkStart w:id="3" w:name="_Toc26657"/>
      <w:r w:rsidRPr="007F02F9">
        <w:rPr>
          <w:rFonts w:ascii="楷体_GB2312" w:eastAsia="楷体_GB2312" w:hint="eastAsia"/>
          <w:b/>
          <w:sz w:val="32"/>
          <w:szCs w:val="32"/>
        </w:rPr>
        <w:t>第二节 发展环境</w:t>
      </w:r>
      <w:bookmarkEnd w:id="3"/>
    </w:p>
    <w:p w14:paraId="070FA64F" w14:textId="77777777" w:rsidR="00501569" w:rsidRDefault="00C74794" w:rsidP="000F74AA">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sz w:val="32"/>
          <w:szCs w:val="32"/>
        </w:rPr>
        <w:t>国内外发展环境。</w:t>
      </w:r>
      <w:r>
        <w:rPr>
          <w:rFonts w:ascii="仿宋_GB2312" w:eastAsia="仿宋_GB2312" w:hAnsi="仿宋_GB2312" w:cs="仿宋_GB2312" w:hint="eastAsia"/>
          <w:color w:val="000000"/>
          <w:sz w:val="32"/>
          <w:szCs w:val="32"/>
        </w:rPr>
        <w:t>当前和今后一个时期，我国发展仍然处于重要战略机遇期，但机遇和挑战都有新的发展变化。当今世界正经历百年未有之大变局，新一轮科技革命和产业变</w:t>
      </w:r>
      <w:r>
        <w:rPr>
          <w:rFonts w:ascii="仿宋_GB2312" w:eastAsia="仿宋_GB2312" w:hAnsi="仿宋_GB2312" w:cs="仿宋_GB2312" w:hint="eastAsia"/>
          <w:color w:val="000000"/>
          <w:sz w:val="32"/>
          <w:szCs w:val="32"/>
        </w:rPr>
        <w:lastRenderedPageBreak/>
        <w:t>革深入发展，国际力量对比深刻调整，和平与发展仍然是时代主题，人类命运共同体理念深入人心，同时国际环境日趋复杂，不稳定性不确定性明显增加，新冠肺炎疫情影响广泛深远，经济全球化遭遇逆流，世界进入动荡变革期，单边主义、保护主义、霸权主义对世界和平与发展构成威胁。我国已转向高质量发展阶段，制度优势显著，治理效能提升，经济长期向好，物质基础雄厚，人力资源丰富，市场空间广阔，发展韧性强劲，社会大局稳定，以国内大循环为主体、国内国际双循环互相促进的新发展格局正在形成，继续发展具有多方面优势和条件，完全有能力延长并用好重要战略机遇期。</w:t>
      </w:r>
    </w:p>
    <w:p w14:paraId="7E6BE176" w14:textId="77777777" w:rsidR="00501569" w:rsidRDefault="00C74794" w:rsidP="000F74AA">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sz w:val="32"/>
          <w:szCs w:val="32"/>
        </w:rPr>
        <w:t>吉林省发展趋势。</w:t>
      </w:r>
      <w:r>
        <w:rPr>
          <w:rFonts w:ascii="仿宋_GB2312" w:eastAsia="仿宋_GB2312" w:hAnsi="仿宋_GB2312" w:cs="仿宋_GB2312" w:hint="eastAsia"/>
          <w:color w:val="000000"/>
          <w:sz w:val="32"/>
          <w:szCs w:val="32"/>
        </w:rPr>
        <w:t>“十四五”时期，吉林省振兴发展处于发挥独特优势、提升在全局中战略地位的关键阶段，处于加快转型升级、实现高质量发展的关键阶段，处于促进共同富裕、提升人民生活品质的关键阶段，东北振兴的政策机遇、新发展格局的融入机遇、国家重大战略的对接机遇、产业升级的趋势机遇，与老工业基地振兴优势、国家重要商品粮基地优势、生态资源优势、沿边近海优势、人才人文和科教优势叠加联动，必将与时俱进提升吉林省经济发展水平，重塑老工业基地竞争新优势。</w:t>
      </w:r>
    </w:p>
    <w:p w14:paraId="0BB577FD" w14:textId="77777777" w:rsidR="00501569" w:rsidRDefault="00C74794" w:rsidP="000F74AA">
      <w:pPr>
        <w:ind w:firstLineChars="200" w:firstLine="643"/>
        <w:rPr>
          <w:rFonts w:ascii="仿宋_GB2312" w:eastAsia="仿宋_GB2312"/>
          <w:sz w:val="32"/>
          <w:szCs w:val="32"/>
        </w:rPr>
      </w:pPr>
      <w:r>
        <w:rPr>
          <w:rFonts w:ascii="仿宋_GB2312" w:eastAsia="仿宋_GB2312" w:hAnsi="仿宋_GB2312" w:cs="仿宋_GB2312" w:hint="eastAsia"/>
          <w:b/>
          <w:bCs/>
          <w:color w:val="000000"/>
          <w:sz w:val="32"/>
          <w:szCs w:val="32"/>
        </w:rPr>
        <w:t>长春市发展部署。</w:t>
      </w:r>
      <w:r>
        <w:rPr>
          <w:rFonts w:ascii="仿宋_GB2312" w:eastAsia="仿宋_GB2312" w:hAnsi="仿宋_GB2312" w:cs="仿宋_GB2312" w:hint="eastAsia"/>
          <w:color w:val="000000"/>
          <w:sz w:val="32"/>
          <w:szCs w:val="32"/>
        </w:rPr>
        <w:t>“十四五”时期，长春市处于振兴发展的突破关键期、城市建设的壮大发展期、经济结构的深度调整期、改革开放的全面重塑期、社会发展的变革转型期</w:t>
      </w:r>
      <w:r>
        <w:rPr>
          <w:rFonts w:ascii="仿宋_GB2312" w:eastAsia="仿宋_GB2312" w:hAnsi="仿宋_GB2312" w:cs="仿宋_GB2312" w:hint="eastAsia"/>
          <w:sz w:val="32"/>
          <w:szCs w:val="32"/>
        </w:rPr>
        <w:t>，是</w:t>
      </w:r>
      <w:r>
        <w:rPr>
          <w:rFonts w:ascii="仿宋_GB2312" w:eastAsia="仿宋_GB2312" w:hAnsi="仿宋_GB2312" w:cs="仿宋_GB2312" w:hint="eastAsia"/>
          <w:sz w:val="32"/>
          <w:szCs w:val="32"/>
        </w:rPr>
        <w:lastRenderedPageBreak/>
        <w:t>乘势而上、加快转型，实现高质量发展的关键阶段</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着力实施“</w:t>
      </w:r>
      <w:r w:rsidR="009E5D77">
        <w:rPr>
          <w:rFonts w:ascii="仿宋_GB2312" w:eastAsia="仿宋_GB2312" w:hAnsi="仿宋_GB2312" w:cs="仿宋_GB2312" w:hint="eastAsia"/>
          <w:sz w:val="32"/>
          <w:szCs w:val="32"/>
        </w:rPr>
        <w:t>一个目标、</w:t>
      </w:r>
      <w:r>
        <w:rPr>
          <w:rFonts w:ascii="仿宋_GB2312" w:eastAsia="仿宋_GB2312" w:hAnsi="仿宋_GB2312" w:cs="仿宋_GB2312" w:hint="eastAsia"/>
          <w:sz w:val="32"/>
          <w:szCs w:val="32"/>
        </w:rPr>
        <w:t>一个体系、四大板块、两大基地</w:t>
      </w:r>
      <w:r w:rsidR="009E5D77">
        <w:rPr>
          <w:rFonts w:ascii="仿宋_GB2312" w:eastAsia="仿宋_GB2312" w:hAnsi="仿宋_GB2312" w:cs="仿宋_GB2312" w:hint="eastAsia"/>
          <w:sz w:val="32"/>
          <w:szCs w:val="32"/>
        </w:rPr>
        <w:t>、五大城市</w:t>
      </w:r>
      <w:r>
        <w:rPr>
          <w:rFonts w:ascii="仿宋_GB2312" w:eastAsia="仿宋_GB2312" w:hAnsi="仿宋_GB2312" w:cs="仿宋_GB2312" w:hint="eastAsia"/>
          <w:sz w:val="32"/>
          <w:szCs w:val="32"/>
        </w:rPr>
        <w:t>”战略部署，全力推进现代化都市圈建设，全面落实老工业基地转型升级、争当农业现代化排头兵、发挥区域创新中心作用、构筑东北地区重要生态安全屏障、打造向北开放重要窗口和东北亚地区合作中心枢纽等重大任务，服务国家、服务吉林省战略全局的地位将更加凸显。</w:t>
      </w:r>
    </w:p>
    <w:p w14:paraId="4BC8CBCC" w14:textId="77777777" w:rsidR="00501569" w:rsidRPr="007F02F9" w:rsidRDefault="00C74794" w:rsidP="0045498C">
      <w:pPr>
        <w:spacing w:beforeLines="50" w:before="156" w:afterLines="50" w:after="156"/>
        <w:jc w:val="center"/>
        <w:outlineLvl w:val="1"/>
        <w:rPr>
          <w:rFonts w:ascii="楷体_GB2312" w:eastAsia="楷体_GB2312"/>
          <w:b/>
          <w:sz w:val="32"/>
          <w:szCs w:val="32"/>
        </w:rPr>
      </w:pPr>
      <w:bookmarkStart w:id="4" w:name="_Toc13403"/>
      <w:bookmarkStart w:id="5" w:name="_Hlk60298721"/>
      <w:r w:rsidRPr="007F02F9">
        <w:rPr>
          <w:rFonts w:ascii="楷体_GB2312" w:eastAsia="楷体_GB2312" w:hint="eastAsia"/>
          <w:b/>
          <w:sz w:val="32"/>
          <w:szCs w:val="32"/>
        </w:rPr>
        <w:t>第三节 面临形势</w:t>
      </w:r>
      <w:bookmarkEnd w:id="4"/>
    </w:p>
    <w:bookmarkEnd w:id="5"/>
    <w:p w14:paraId="713F355C" w14:textId="77777777" w:rsidR="00501569" w:rsidRDefault="00C74794" w:rsidP="000F74AA">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顺应国内外发展大形势和我省经济社会发展大趋势，在高质量发展和疫情防控常态化的大背景下，从公主岭市“十四五”发展环境看，既存在着重大机遇，也面临着重大挑战。</w:t>
      </w:r>
    </w:p>
    <w:p w14:paraId="20EF0BFA" w14:textId="77777777" w:rsidR="00501569" w:rsidRDefault="00C74794" w:rsidP="000F74AA">
      <w:pPr>
        <w:pStyle w:val="2"/>
        <w:spacing w:line="240" w:lineRule="auto"/>
        <w:ind w:firstLine="643"/>
        <w:rPr>
          <w:rFonts w:ascii="仿宋_GB2312" w:hAnsi="仿宋_GB2312" w:cs="仿宋_GB2312"/>
          <w:sz w:val="32"/>
          <w:szCs w:val="32"/>
        </w:rPr>
      </w:pPr>
      <w:r>
        <w:rPr>
          <w:rFonts w:ascii="仿宋_GB2312" w:hAnsi="仿宋_GB2312" w:cs="仿宋_GB2312" w:hint="eastAsia"/>
          <w:b/>
          <w:bCs/>
          <w:sz w:val="32"/>
          <w:szCs w:val="32"/>
        </w:rPr>
        <w:t>发展机遇。</w:t>
      </w:r>
      <w:r>
        <w:rPr>
          <w:rFonts w:ascii="仿宋_GB2312" w:hAnsi="仿宋_GB2312" w:cs="仿宋_GB2312" w:hint="eastAsia"/>
          <w:sz w:val="32"/>
          <w:szCs w:val="32"/>
        </w:rPr>
        <w:t>结合公主岭自身具有的</w:t>
      </w:r>
      <w:r>
        <w:rPr>
          <w:rFonts w:ascii="仿宋_GB2312" w:hAnsi="仿宋_GB2312" w:cs="仿宋_GB2312" w:hint="eastAsia"/>
          <w:sz w:val="32"/>
        </w:rPr>
        <w:t>区位、资源、产业、政策“四大比较优势”，</w:t>
      </w:r>
      <w:r>
        <w:rPr>
          <w:rFonts w:ascii="仿宋_GB2312" w:hAnsi="仿宋_GB2312" w:cs="仿宋_GB2312" w:hint="eastAsia"/>
          <w:sz w:val="32"/>
          <w:szCs w:val="32"/>
        </w:rPr>
        <w:t>主要存在“四大机遇”：</w:t>
      </w:r>
      <w:r>
        <w:rPr>
          <w:rFonts w:ascii="仿宋_GB2312" w:hAnsi="仿宋_GB2312" w:cs="仿宋_GB2312" w:hint="eastAsia"/>
          <w:b/>
          <w:bCs/>
          <w:sz w:val="32"/>
          <w:szCs w:val="32"/>
        </w:rPr>
        <w:t>一是以长春现代化都市圈为平台，融入全省振兴发展大局和双循环新发展格局的战略机遇。</w:t>
      </w:r>
      <w:r>
        <w:rPr>
          <w:rFonts w:ascii="仿宋_GB2312" w:hAnsi="仿宋_GB2312" w:cs="仿宋_GB2312" w:hint="eastAsia"/>
          <w:sz w:val="32"/>
          <w:szCs w:val="32"/>
        </w:rPr>
        <w:t>省委、省政府“一主、六双”产业空间布局，着力重塑全省区域经济发展格局，支持建设中心城市等经济发展优势区域，促进各类要素向长春现代化都市圈流动集聚。公主岭作为长春现代化都市圈的重要节点，区位优势最显著、经济体量最大、人口规模前列，发展</w:t>
      </w:r>
      <w:r w:rsidR="00716354">
        <w:rPr>
          <w:rFonts w:ascii="仿宋_GB2312" w:hAnsi="仿宋_GB2312" w:cs="仿宋_GB2312" w:hint="eastAsia"/>
          <w:sz w:val="32"/>
          <w:szCs w:val="32"/>
        </w:rPr>
        <w:t>前景</w:t>
      </w:r>
      <w:r>
        <w:rPr>
          <w:rFonts w:ascii="仿宋_GB2312" w:hAnsi="仿宋_GB2312" w:cs="仿宋_GB2312" w:hint="eastAsia"/>
          <w:sz w:val="32"/>
          <w:szCs w:val="32"/>
        </w:rPr>
        <w:t>十分广阔。这有利于公主岭充分融入全省经济建设主战场，更好配套承接长春产业链集群，激发自身发展活力动力潜力，充分分享长春现代化都市圈建设红利，并以此为平台更好融入以</w:t>
      </w:r>
      <w:r>
        <w:rPr>
          <w:rFonts w:ascii="仿宋_GB2312" w:hAnsi="仿宋_GB2312" w:cs="仿宋_GB2312" w:hint="eastAsia"/>
          <w:sz w:val="32"/>
          <w:szCs w:val="32"/>
        </w:rPr>
        <w:lastRenderedPageBreak/>
        <w:t>国内大循环为主体，国内国际双循环相互促进的新发展格局。</w:t>
      </w:r>
      <w:r>
        <w:rPr>
          <w:rFonts w:ascii="仿宋_GB2312" w:hAnsi="仿宋_GB2312" w:cs="仿宋_GB2312" w:hint="eastAsia"/>
          <w:b/>
          <w:bCs/>
          <w:sz w:val="32"/>
          <w:szCs w:val="32"/>
        </w:rPr>
        <w:t>二是以长春公主岭同城化协同发展为契机，大幅提升城市量级和战略地位的历史机遇。</w:t>
      </w:r>
      <w:r>
        <w:rPr>
          <w:rFonts w:ascii="仿宋_GB2312" w:hAnsi="仿宋_GB2312" w:cs="仿宋_GB2312" w:hint="eastAsia"/>
          <w:sz w:val="32"/>
          <w:szCs w:val="32"/>
        </w:rPr>
        <w:t>公主岭毗邻长春市，经济社会联系紧密，已纳入长春国际汽车城和国家区域创新中心两大板块，同城化发展已达成共识，融合化协同化步伐不断加快，各方面不断取得重大进展和成效。这有利于公主岭从更大的平台、更高的视野审视自身发展定位，强化城市规划、建设和管理，提升城市功能、品牌和形象，增强竞争力、影响力和知名度，实现资源要素集聚、城市量级提升和战略定位跃升，加快建设新型中等城市。</w:t>
      </w:r>
      <w:r>
        <w:rPr>
          <w:rFonts w:ascii="仿宋_GB2312" w:hAnsi="仿宋_GB2312" w:cs="仿宋_GB2312" w:hint="eastAsia"/>
          <w:b/>
          <w:color w:val="000000" w:themeColor="text1"/>
          <w:sz w:val="32"/>
          <w:szCs w:val="32"/>
        </w:rPr>
        <w:t>三是以国家县城新型城镇化建设示范为突破，提升中心城区能级的政策机遇。</w:t>
      </w:r>
      <w:r>
        <w:rPr>
          <w:rFonts w:ascii="仿宋_GB2312" w:hAnsi="仿宋_GB2312" w:cs="仿宋_GB2312" w:hint="eastAsia"/>
          <w:bCs/>
          <w:color w:val="000000" w:themeColor="text1"/>
          <w:sz w:val="32"/>
          <w:szCs w:val="32"/>
        </w:rPr>
        <w:t>县城城镇化是国家“十四五”新型城镇化建设的主攻方向和重要载体。公主岭是国家首批新型城镇化建设示范县城，这有利于加快补齐城区公共卫生、人居环境、公共服务、市政设施、产业支撑等方面弱项短板，适应农民日益增加的到城区就业安家需求，扩大有效投资、释放消费潜力，拓展市场纵深，加快实现产城融合和城乡融合。</w:t>
      </w:r>
      <w:r>
        <w:rPr>
          <w:rFonts w:ascii="仿宋_GB2312" w:hAnsi="仿宋_GB2312" w:cs="仿宋_GB2312" w:hint="eastAsia"/>
          <w:b/>
          <w:bCs/>
          <w:sz w:val="32"/>
          <w:szCs w:val="32"/>
        </w:rPr>
        <w:t>四是以升建农高区为依托，</w:t>
      </w:r>
      <w:r>
        <w:rPr>
          <w:rFonts w:ascii="仿宋_GB2312" w:hAnsi="仿宋_GB2312" w:cs="仿宋_GB2312" w:hint="eastAsia"/>
          <w:b/>
          <w:bCs/>
          <w:color w:val="000000" w:themeColor="text1"/>
          <w:sz w:val="32"/>
          <w:szCs w:val="32"/>
        </w:rPr>
        <w:t>加快实现农业农村现代化的发展机遇</w:t>
      </w:r>
      <w:r>
        <w:rPr>
          <w:rFonts w:ascii="仿宋_GB2312" w:hAnsi="仿宋_GB2312" w:cs="仿宋_GB2312" w:hint="eastAsia"/>
          <w:b/>
          <w:bCs/>
          <w:sz w:val="32"/>
          <w:szCs w:val="32"/>
        </w:rPr>
        <w:t>。</w:t>
      </w:r>
      <w:r>
        <w:rPr>
          <w:rFonts w:ascii="仿宋_GB2312" w:hAnsi="仿宋_GB2312" w:cs="仿宋_GB2312" w:hint="eastAsia"/>
          <w:sz w:val="32"/>
          <w:szCs w:val="32"/>
        </w:rPr>
        <w:t>长春国家农高区创建在即，承载了全省率先实现农业现代化、争当现代农业建设排头兵的历史责任。</w:t>
      </w:r>
      <w:r>
        <w:rPr>
          <w:rFonts w:ascii="仿宋_GB2312" w:hAnsi="仿宋_GB2312" w:cs="仿宋_GB2312" w:hint="eastAsia"/>
          <w:bCs/>
          <w:color w:val="000000" w:themeColor="text1"/>
          <w:sz w:val="32"/>
          <w:szCs w:val="32"/>
        </w:rPr>
        <w:t>这有利于汇聚农业高新技术资源和要素，聚焦高新技术引领和特色优势农业产业高质量发展，形成以玉米全产业链为主导的现代农业产业集群，打造玉米科技创新高</w:t>
      </w:r>
      <w:r>
        <w:rPr>
          <w:rFonts w:ascii="仿宋_GB2312" w:hAnsi="仿宋_GB2312" w:cs="仿宋_GB2312" w:hint="eastAsia"/>
          <w:bCs/>
          <w:color w:val="000000" w:themeColor="text1"/>
          <w:sz w:val="32"/>
          <w:szCs w:val="32"/>
        </w:rPr>
        <w:lastRenderedPageBreak/>
        <w:t>地、人才高地和产业高地，建设</w:t>
      </w:r>
      <w:r>
        <w:rPr>
          <w:rFonts w:ascii="仿宋_GB2312" w:hAnsi="仿宋_GB2312" w:cs="仿宋_GB2312" w:hint="eastAsia"/>
          <w:sz w:val="32"/>
          <w:szCs w:val="32"/>
        </w:rPr>
        <w:t>具有全国影响力的农业现代化建设先行区。</w:t>
      </w:r>
      <w:r>
        <w:rPr>
          <w:rFonts w:ascii="仿宋_GB2312" w:hAnsi="仿宋_GB2312" w:cs="仿宋_GB2312" w:hint="eastAsia"/>
          <w:sz w:val="32"/>
        </w:rPr>
        <w:t>除“四大机遇”外，从宏观层面看，还要把握好国家扩大内需、乡村振兴、对口合作等重大机遇，强化机遇意识，发挥好这些机遇的叠加优势和联动作用，乘势而上，顺势而为，推动实现高质量发展。</w:t>
      </w:r>
    </w:p>
    <w:p w14:paraId="0DAB2B8C" w14:textId="77777777" w:rsidR="00501569" w:rsidRDefault="00C74794" w:rsidP="000F74AA">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重大挑战。</w:t>
      </w:r>
      <w:r>
        <w:rPr>
          <w:rFonts w:ascii="仿宋_GB2312" w:eastAsia="仿宋_GB2312" w:hAnsi="仿宋_GB2312" w:cs="仿宋_GB2312" w:hint="eastAsia"/>
          <w:sz w:val="32"/>
          <w:szCs w:val="32"/>
        </w:rPr>
        <w:t>“十四五”时期，公主岭还将面临“三大挑战”：</w:t>
      </w:r>
      <w:r>
        <w:rPr>
          <w:rFonts w:ascii="仿宋_GB2312" w:eastAsia="仿宋_GB2312" w:hAnsi="仿宋_GB2312" w:cs="仿宋_GB2312" w:hint="eastAsia"/>
          <w:b/>
          <w:sz w:val="32"/>
          <w:szCs w:val="32"/>
        </w:rPr>
        <w:t>一是新冠肺炎疫情对经济和社会持续稳健发展“常态化”的挑战。</w:t>
      </w:r>
      <w:r>
        <w:rPr>
          <w:rFonts w:ascii="仿宋_GB2312" w:eastAsia="仿宋_GB2312" w:hAnsi="仿宋_GB2312" w:cs="仿宋_GB2312" w:hint="eastAsia"/>
          <w:bCs/>
          <w:sz w:val="32"/>
          <w:szCs w:val="32"/>
        </w:rPr>
        <w:t>新冠肺炎疫情将对现行经济、社会运行秩序带来常态化、全方位、持久性影响，对地方财政运行、产业格局、项目建设、招商引资、企业生产、商贸流通、供需循环、治理方式等各方面产生巨大压力，外部发展环境不确定性因素增多，外部发展条件发生深刻变化，地方内部发展投入成本将大幅增加，亟需重塑经济社会发展秩序，建立与常态化疫情防控相适应的经济社会运行机制。</w:t>
      </w:r>
      <w:r>
        <w:rPr>
          <w:rFonts w:ascii="仿宋_GB2312" w:eastAsia="仿宋_GB2312" w:hAnsi="仿宋_GB2312" w:cs="仿宋_GB2312" w:hint="eastAsia"/>
          <w:b/>
          <w:bCs/>
          <w:sz w:val="32"/>
          <w:szCs w:val="32"/>
        </w:rPr>
        <w:t>二是经济发展质量效益和增长速度“双提升”的挑战。</w:t>
      </w:r>
      <w:r>
        <w:rPr>
          <w:rFonts w:ascii="仿宋_GB2312" w:eastAsia="仿宋_GB2312" w:hAnsi="仿宋_GB2312" w:cs="仿宋_GB2312" w:hint="eastAsia"/>
          <w:sz w:val="32"/>
          <w:szCs w:val="32"/>
        </w:rPr>
        <w:t>全国各地对劳动力、人才、技术、资金等生产要素和产品市场的争夺将更加激烈，人口增长较慢和老龄化加快并存，优质生产要素流失。汽车零部件、农产品加工、物流三大产业面临着转型升级的考验，新兴产业对经济增长支撑能力不足，实体经济发展困难增多，大项目好项目难以满足地方快速发展需求，投资增长后劲不足，统筹推进经济高质量发展和保持中高速增长的压力持续加大。三</w:t>
      </w:r>
      <w:r>
        <w:rPr>
          <w:rFonts w:ascii="仿宋_GB2312" w:eastAsia="仿宋_GB2312" w:hAnsi="仿宋_GB2312" w:cs="仿宋_GB2312" w:hint="eastAsia"/>
          <w:b/>
          <w:sz w:val="32"/>
          <w:szCs w:val="32"/>
        </w:rPr>
        <w:t>是</w:t>
      </w:r>
      <w:r>
        <w:rPr>
          <w:rFonts w:ascii="仿宋_GB2312" w:eastAsia="仿宋_GB2312" w:hAnsi="仿宋_GB2312" w:cs="仿宋_GB2312" w:hint="eastAsia"/>
          <w:b/>
          <w:bCs/>
          <w:sz w:val="32"/>
          <w:szCs w:val="32"/>
        </w:rPr>
        <w:t>各领域矛盾问题凸显和各类风险易发多发“多重叠</w:t>
      </w:r>
      <w:r>
        <w:rPr>
          <w:rFonts w:ascii="仿宋_GB2312" w:eastAsia="仿宋_GB2312" w:hAnsi="仿宋_GB2312" w:cs="仿宋_GB2312" w:hint="eastAsia"/>
          <w:b/>
          <w:bCs/>
          <w:sz w:val="32"/>
          <w:szCs w:val="32"/>
        </w:rPr>
        <w:lastRenderedPageBreak/>
        <w:t>加”的挑战。</w:t>
      </w:r>
      <w:r>
        <w:rPr>
          <w:rFonts w:ascii="仿宋_GB2312" w:eastAsia="仿宋_GB2312" w:hAnsi="仿宋_GB2312" w:cs="仿宋_GB2312" w:hint="eastAsia"/>
          <w:sz w:val="32"/>
          <w:szCs w:val="32"/>
        </w:rPr>
        <w:t>伴随着新冠肺炎疫情常态化防控，地方政府财政收支矛盾和财政运行压力愈发突出，城市安全、生态环保、公共卫生、安全生产、应急管理、社会治安、养老就业、医疗卫生等各领域长期积累的矛盾问题和显性隐性风险相互交织，“六稳”“六保”任务十分艰巨。</w:t>
      </w:r>
    </w:p>
    <w:p w14:paraId="7AB25666" w14:textId="77777777" w:rsidR="00501569" w:rsidRPr="00317922" w:rsidRDefault="00C74794" w:rsidP="000F74AA">
      <w:pPr>
        <w:ind w:firstLineChars="200" w:firstLine="640"/>
        <w:rPr>
          <w:rFonts w:ascii="楷体_GB2312" w:eastAsia="楷体_GB2312"/>
          <w:bCs/>
          <w:sz w:val="32"/>
          <w:szCs w:val="32"/>
        </w:rPr>
      </w:pPr>
      <w:r>
        <w:rPr>
          <w:rFonts w:ascii="仿宋_GB2312" w:eastAsia="仿宋_GB2312" w:hAnsi="仿宋_GB2312" w:cs="仿宋_GB2312" w:hint="eastAsia"/>
          <w:sz w:val="32"/>
          <w:szCs w:val="32"/>
        </w:rPr>
        <w:t>综合判断，“十四五”时期，公主岭市经济社会和城市发展正处于大变革、大转型、大融合的历史阶段。必须有足够敏锐的思维、足够紧迫的意识、足够必胜的信心，统筹推进常态化疫情防控和经济社会持续健康发展，更加注重发挥比较优势，更加注重体制机制创新，更加注重质量效益提升，更加注重结构优化升级，更加注重城乡融合发展，更加注重区域开放合作，更加注重统筹发展和安全，增强机遇意识和风险意识，</w:t>
      </w:r>
      <w:r>
        <w:rPr>
          <w:rFonts w:ascii="仿宋_GB2312" w:eastAsia="仿宋_GB2312" w:hAnsi="仿宋_GB2312" w:cs="仿宋_GB2312"/>
          <w:sz w:val="32"/>
          <w:szCs w:val="32"/>
        </w:rPr>
        <w:t>准确识变、科学应变、主动求变，善于在危机中育先机、于变局中开新局，抓住机遇，应对挑战，趋利避害，奋勇前进</w:t>
      </w:r>
      <w:r>
        <w:rPr>
          <w:rFonts w:ascii="仿宋_GB2312" w:eastAsia="仿宋_GB2312" w:hAnsi="仿宋_GB2312" w:cs="仿宋_GB2312" w:hint="eastAsia"/>
          <w:sz w:val="32"/>
          <w:szCs w:val="32"/>
        </w:rPr>
        <w:t>。</w:t>
      </w:r>
    </w:p>
    <w:p w14:paraId="26A97E44" w14:textId="77777777" w:rsidR="00501569" w:rsidRPr="007F02F9" w:rsidRDefault="00C74794" w:rsidP="0045498C">
      <w:pPr>
        <w:spacing w:beforeLines="50" w:before="156" w:afterLines="50" w:after="156"/>
        <w:jc w:val="center"/>
        <w:rPr>
          <w:rFonts w:ascii="楷体_GB2312" w:eastAsia="楷体_GB2312"/>
          <w:b/>
          <w:sz w:val="32"/>
          <w:szCs w:val="32"/>
        </w:rPr>
      </w:pPr>
      <w:bookmarkStart w:id="6" w:name="_Toc9818"/>
      <w:r w:rsidRPr="007F02F9">
        <w:rPr>
          <w:rFonts w:ascii="楷体_GB2312" w:eastAsia="楷体_GB2312" w:hint="eastAsia"/>
          <w:b/>
          <w:sz w:val="32"/>
          <w:szCs w:val="32"/>
        </w:rPr>
        <w:t>第四节 指导思想</w:t>
      </w:r>
      <w:bookmarkEnd w:id="6"/>
    </w:p>
    <w:p w14:paraId="4F5DD03E" w14:textId="77777777" w:rsidR="00501569" w:rsidRDefault="00C74794" w:rsidP="000F74AA">
      <w:pPr>
        <w:ind w:firstLineChars="200" w:firstLine="640"/>
        <w:rPr>
          <w:rFonts w:ascii="黑体" w:eastAsia="黑体" w:hAnsi="黑体" w:cs="黑体"/>
          <w:b/>
          <w:bCs/>
          <w:color w:val="000000" w:themeColor="text1"/>
          <w:sz w:val="32"/>
          <w:szCs w:val="32"/>
        </w:rPr>
      </w:pPr>
      <w:bookmarkStart w:id="7" w:name="_Hlk59801908"/>
      <w:r>
        <w:rPr>
          <w:rFonts w:ascii="黑体" w:eastAsia="黑体" w:hAnsi="黑体" w:cs="黑体" w:hint="eastAsia"/>
          <w:bCs/>
          <w:color w:val="000000" w:themeColor="text1"/>
          <w:sz w:val="32"/>
          <w:szCs w:val="32"/>
        </w:rPr>
        <w:t>高举中国特色社会主义伟大旗帜，深入贯彻党的十九大和十九届二中、三中、四中、五中全会精神，坚持以习近平新时代中国特色社会主义思想为指导，坚持以习近平总书记对东北振兴和吉林工作的重要讲话重要指示精神为统领，统筹推进“五位一体”总体布局，协调推进“四个全面”战略布局，坚定不移贯彻新发展理念，坚持稳中求进工作总基调，</w:t>
      </w:r>
      <w:r>
        <w:rPr>
          <w:rFonts w:ascii="黑体" w:eastAsia="黑体" w:hAnsi="黑体" w:cs="黑体" w:hint="eastAsia"/>
          <w:bCs/>
          <w:color w:val="000000" w:themeColor="text1"/>
          <w:sz w:val="32"/>
          <w:szCs w:val="32"/>
        </w:rPr>
        <w:lastRenderedPageBreak/>
        <w:t>全面贯彻中东西“三大板块”建设、“一主、六双”产业空间布局，深入落实长春市“</w:t>
      </w:r>
      <w:r w:rsidR="009E5D77">
        <w:rPr>
          <w:rFonts w:ascii="黑体" w:eastAsia="黑体" w:hAnsi="黑体" w:cs="黑体" w:hint="eastAsia"/>
          <w:bCs/>
          <w:color w:val="000000" w:themeColor="text1"/>
          <w:sz w:val="32"/>
          <w:szCs w:val="32"/>
        </w:rPr>
        <w:t>一个目标、</w:t>
      </w:r>
      <w:r>
        <w:rPr>
          <w:rFonts w:ascii="黑体" w:eastAsia="黑体" w:hAnsi="黑体" w:cs="黑体" w:hint="eastAsia"/>
          <w:bCs/>
          <w:color w:val="000000" w:themeColor="text1"/>
          <w:sz w:val="32"/>
          <w:szCs w:val="32"/>
        </w:rPr>
        <w:t>一个体系、四大板块、两大基地</w:t>
      </w:r>
      <w:r w:rsidR="009E5D77">
        <w:rPr>
          <w:rFonts w:ascii="黑体" w:eastAsia="黑体" w:hAnsi="黑体" w:cs="黑体" w:hint="eastAsia"/>
          <w:bCs/>
          <w:color w:val="000000" w:themeColor="text1"/>
          <w:sz w:val="32"/>
          <w:szCs w:val="32"/>
        </w:rPr>
        <w:t>、五大板块</w:t>
      </w:r>
      <w:r>
        <w:rPr>
          <w:rFonts w:ascii="黑体" w:eastAsia="黑体" w:hAnsi="黑体" w:cs="黑体" w:hint="eastAsia"/>
          <w:bCs/>
          <w:color w:val="000000" w:themeColor="text1"/>
          <w:sz w:val="32"/>
          <w:szCs w:val="32"/>
        </w:rPr>
        <w:t>”战略部署，以推动高质量发展为主题，以深化供给侧结构性改革为主线，以改革创新为根本动力，以满足人民日益增长的美好生活需要为根本目的，着力实施“一城提升，一区引领，两板同创，两带同构，六业并举，全面建设长春现代化都市圈新型中等城市”发展战略，统筹发展和安全，加快建设现代化经济体系，深度融入新发展格局，开启社会主义现代化建设新征程。</w:t>
      </w:r>
    </w:p>
    <w:p w14:paraId="5D0AB6AF" w14:textId="77777777" w:rsidR="00501569" w:rsidRDefault="00C74794" w:rsidP="000F74AA">
      <w:pPr>
        <w:pStyle w:val="ad"/>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“十四五”时期经济社会发展必须遵循的原则：</w:t>
      </w:r>
    </w:p>
    <w:p w14:paraId="7F0F4172" w14:textId="77777777" w:rsidR="00501569" w:rsidRDefault="00C74794" w:rsidP="000F74AA">
      <w:pPr>
        <w:pStyle w:val="ad"/>
        <w:ind w:firstLineChars="200" w:firstLine="643"/>
        <w:rPr>
          <w:rFonts w:ascii="仿宋" w:eastAsia="仿宋" w:hAnsi="仿宋" w:cs="仿宋_GB2312"/>
          <w:bCs/>
          <w:sz w:val="32"/>
          <w:szCs w:val="32"/>
        </w:rPr>
      </w:pPr>
      <w:r>
        <w:rPr>
          <w:rFonts w:ascii="仿宋" w:eastAsia="仿宋" w:hAnsi="仿宋" w:cs="仿宋_GB2312"/>
          <w:b/>
          <w:sz w:val="32"/>
          <w:szCs w:val="32"/>
        </w:rPr>
        <w:t>——</w:t>
      </w:r>
      <w:r>
        <w:rPr>
          <w:rFonts w:ascii="仿宋" w:eastAsia="仿宋" w:hAnsi="仿宋" w:cs="仿宋_GB2312" w:hint="eastAsia"/>
          <w:b/>
          <w:sz w:val="32"/>
          <w:szCs w:val="32"/>
        </w:rPr>
        <w:t>坚持党的全面领导。</w:t>
      </w:r>
      <w:r>
        <w:rPr>
          <w:rFonts w:ascii="仿宋" w:eastAsia="仿宋" w:hAnsi="仿宋" w:cs="仿宋_GB2312" w:hint="eastAsia"/>
          <w:bCs/>
          <w:sz w:val="32"/>
          <w:szCs w:val="32"/>
        </w:rPr>
        <w:t>坚决落实以习近平同志为核心的党中央决策部署，坚持和完善党领导经济社会发展的体制机制，不断提高贯彻新发展理念、构建新发展格局能力和水平，为实现公主岭高质量发展提供根本保证。</w:t>
      </w:r>
    </w:p>
    <w:p w14:paraId="074EA582" w14:textId="77777777" w:rsidR="00501569" w:rsidRDefault="00C74794" w:rsidP="000F74AA">
      <w:pPr>
        <w:pStyle w:val="ad"/>
        <w:ind w:firstLineChars="200" w:firstLine="643"/>
        <w:rPr>
          <w:rFonts w:ascii="仿宋" w:eastAsia="仿宋" w:hAnsi="仿宋" w:cs="仿宋_GB2312"/>
          <w:bCs/>
          <w:sz w:val="32"/>
          <w:szCs w:val="32"/>
        </w:rPr>
      </w:pPr>
      <w:r>
        <w:rPr>
          <w:rFonts w:ascii="仿宋" w:eastAsia="仿宋" w:hAnsi="仿宋" w:cs="仿宋_GB2312"/>
          <w:b/>
          <w:sz w:val="32"/>
          <w:szCs w:val="32"/>
        </w:rPr>
        <w:t>——</w:t>
      </w:r>
      <w:r>
        <w:rPr>
          <w:rFonts w:ascii="仿宋" w:eastAsia="仿宋" w:hAnsi="仿宋" w:cs="仿宋_GB2312" w:hint="eastAsia"/>
          <w:b/>
          <w:sz w:val="32"/>
          <w:szCs w:val="32"/>
        </w:rPr>
        <w:t>坚持以人民为中心。</w:t>
      </w:r>
      <w:r>
        <w:rPr>
          <w:rFonts w:ascii="仿宋" w:eastAsia="仿宋" w:hAnsi="仿宋" w:cs="仿宋_GB2312" w:hint="eastAsia"/>
          <w:bCs/>
          <w:sz w:val="32"/>
          <w:szCs w:val="32"/>
        </w:rPr>
        <w:t>坚持人民主体地位，坚持共同富裕方向，始终做到发展为了人民、发展依靠人民、发展成果由人民共享，维护人民根本利益，激发全体人民积极性、主动性、创造性，促进社会公平，增进民生福祉，持续提升幸福公主岭建设水平，不断实现人民对美好生活的向往。</w:t>
      </w:r>
    </w:p>
    <w:p w14:paraId="6F301FB3" w14:textId="77777777" w:rsidR="00501569" w:rsidRDefault="00C74794" w:rsidP="000F74AA">
      <w:pPr>
        <w:pStyle w:val="ad"/>
        <w:ind w:firstLineChars="200" w:firstLine="643"/>
        <w:rPr>
          <w:rFonts w:ascii="仿宋" w:eastAsia="仿宋" w:hAnsi="仿宋" w:cs="仿宋_GB2312"/>
          <w:bCs/>
          <w:sz w:val="32"/>
          <w:szCs w:val="32"/>
        </w:rPr>
      </w:pPr>
      <w:r>
        <w:rPr>
          <w:rFonts w:ascii="仿宋" w:eastAsia="仿宋" w:hAnsi="仿宋" w:cs="仿宋_GB2312"/>
          <w:b/>
          <w:sz w:val="32"/>
          <w:szCs w:val="32"/>
        </w:rPr>
        <w:t>——</w:t>
      </w:r>
      <w:r>
        <w:rPr>
          <w:rFonts w:ascii="仿宋" w:eastAsia="仿宋" w:hAnsi="仿宋" w:cs="仿宋_GB2312" w:hint="eastAsia"/>
          <w:b/>
          <w:sz w:val="32"/>
          <w:szCs w:val="32"/>
        </w:rPr>
        <w:t>坚持新发展理念。</w:t>
      </w:r>
      <w:r>
        <w:rPr>
          <w:rFonts w:ascii="仿宋" w:eastAsia="仿宋" w:hAnsi="仿宋" w:cs="仿宋_GB2312" w:hint="eastAsia"/>
          <w:bCs/>
          <w:sz w:val="32"/>
          <w:szCs w:val="32"/>
        </w:rPr>
        <w:t>把实施“</w:t>
      </w:r>
      <w:r>
        <w:rPr>
          <w:rFonts w:ascii="仿宋" w:eastAsia="仿宋" w:hAnsi="仿宋" w:cs="仿宋_GB2312"/>
          <w:bCs/>
          <w:sz w:val="32"/>
          <w:szCs w:val="32"/>
        </w:rPr>
        <w:t>1126</w:t>
      </w:r>
      <w:r>
        <w:rPr>
          <w:rFonts w:ascii="仿宋" w:eastAsia="仿宋" w:hAnsi="仿宋" w:cs="仿宋_GB2312" w:hint="eastAsia"/>
          <w:bCs/>
          <w:sz w:val="32"/>
          <w:szCs w:val="32"/>
        </w:rPr>
        <w:t>”战略作为落实新发展理念的重要载体，以实现长春现代化都市圈新型中等城市为引领，切实转变发展方式，推动质量变革、效率变革、</w:t>
      </w:r>
      <w:r>
        <w:rPr>
          <w:rFonts w:ascii="仿宋" w:eastAsia="仿宋" w:hAnsi="仿宋" w:cs="仿宋_GB2312" w:hint="eastAsia"/>
          <w:bCs/>
          <w:sz w:val="32"/>
          <w:szCs w:val="32"/>
        </w:rPr>
        <w:lastRenderedPageBreak/>
        <w:t>动力变革，实现更高质量、更有效率、更加公平、更可持续、更为安全的发展。</w:t>
      </w:r>
    </w:p>
    <w:p w14:paraId="243D0E11" w14:textId="77777777" w:rsidR="00501569" w:rsidRDefault="00C74794" w:rsidP="000F74AA">
      <w:pPr>
        <w:pStyle w:val="ad"/>
        <w:ind w:firstLineChars="200" w:firstLine="643"/>
        <w:rPr>
          <w:rFonts w:ascii="仿宋" w:eastAsia="仿宋" w:hAnsi="仿宋" w:cs="仿宋_GB2312"/>
          <w:bCs/>
          <w:sz w:val="32"/>
          <w:szCs w:val="32"/>
        </w:rPr>
      </w:pPr>
      <w:r>
        <w:rPr>
          <w:rFonts w:ascii="仿宋" w:eastAsia="仿宋" w:hAnsi="仿宋" w:cs="仿宋_GB2312"/>
          <w:b/>
          <w:sz w:val="32"/>
          <w:szCs w:val="32"/>
        </w:rPr>
        <w:t>——</w:t>
      </w:r>
      <w:r>
        <w:rPr>
          <w:rFonts w:ascii="仿宋" w:eastAsia="仿宋" w:hAnsi="仿宋" w:cs="仿宋_GB2312" w:hint="eastAsia"/>
          <w:b/>
          <w:sz w:val="32"/>
          <w:szCs w:val="32"/>
        </w:rPr>
        <w:t>坚持深化改革开放。</w:t>
      </w:r>
      <w:r>
        <w:rPr>
          <w:rFonts w:ascii="仿宋" w:eastAsia="仿宋" w:hAnsi="仿宋" w:cs="仿宋_GB2312" w:hint="eastAsia"/>
          <w:sz w:val="32"/>
          <w:szCs w:val="32"/>
        </w:rPr>
        <w:t>深度融入以国内大循环为主体，国内国际双循环相互促进的新发展格局，</w:t>
      </w:r>
      <w:r>
        <w:rPr>
          <w:rFonts w:ascii="仿宋" w:eastAsia="仿宋" w:hAnsi="仿宋" w:cs="仿宋_GB2312" w:hint="eastAsia"/>
          <w:bCs/>
          <w:sz w:val="32"/>
          <w:szCs w:val="32"/>
        </w:rPr>
        <w:t>坚定不移推进改革开放，加强治理体系和治理能力现代化建设，破除制约高质量发展、高品质生活的体制机制障碍，强化有利于提高资源配置效率、调动全社会积极性的重大改革开放举措，持续增强发展动力和活力。</w:t>
      </w:r>
    </w:p>
    <w:p w14:paraId="5551555A" w14:textId="77777777" w:rsidR="00501569" w:rsidRDefault="00C74794" w:rsidP="00317922">
      <w:pPr>
        <w:pStyle w:val="ad"/>
        <w:ind w:firstLineChars="200" w:firstLine="643"/>
        <w:rPr>
          <w:rFonts w:ascii="仿宋" w:eastAsia="仿宋" w:hAnsi="仿宋" w:cs="仿宋_GB2312"/>
          <w:bCs/>
          <w:sz w:val="32"/>
          <w:szCs w:val="32"/>
        </w:rPr>
      </w:pPr>
      <w:r>
        <w:rPr>
          <w:rFonts w:ascii="仿宋" w:eastAsia="仿宋" w:hAnsi="仿宋" w:cs="仿宋_GB2312"/>
          <w:b/>
          <w:sz w:val="32"/>
          <w:szCs w:val="32"/>
        </w:rPr>
        <w:t>——</w:t>
      </w:r>
      <w:r>
        <w:rPr>
          <w:rFonts w:ascii="仿宋" w:eastAsia="仿宋" w:hAnsi="仿宋" w:cs="仿宋_GB2312" w:hint="eastAsia"/>
          <w:b/>
          <w:sz w:val="32"/>
          <w:szCs w:val="32"/>
        </w:rPr>
        <w:t>坚持系统观念。</w:t>
      </w:r>
      <w:r>
        <w:rPr>
          <w:rFonts w:ascii="仿宋" w:eastAsia="仿宋" w:hAnsi="仿宋" w:cs="仿宋_GB2312" w:hint="eastAsia"/>
          <w:bCs/>
          <w:sz w:val="32"/>
          <w:szCs w:val="32"/>
        </w:rPr>
        <w:t>加强前瞻性思考、全局性谋划、战略性布局、整体性推进，着眼国内国际两个大局，办好发展安全两件大事，推动六大产业统筹发展，“一城一区两大板块”率先发展，“两带”均衡发展，实现发展质量、结构、规模、速度、效益、安全相统一。</w:t>
      </w:r>
    </w:p>
    <w:p w14:paraId="2C4439DC" w14:textId="77777777" w:rsidR="00501569" w:rsidRPr="007F02F9"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8" w:name="_Toc3079"/>
      <w:r w:rsidRPr="007F02F9">
        <w:rPr>
          <w:rFonts w:ascii="楷体_GB2312" w:eastAsia="楷体_GB2312" w:hAnsi="楷体_GB2312" w:cs="楷体_GB2312" w:hint="eastAsia"/>
          <w:b/>
          <w:sz w:val="32"/>
          <w:szCs w:val="32"/>
        </w:rPr>
        <w:t>第五节 发展战略</w:t>
      </w:r>
      <w:bookmarkEnd w:id="8"/>
    </w:p>
    <w:p w14:paraId="506C706E" w14:textId="77777777" w:rsidR="00501569" w:rsidRDefault="00C74794" w:rsidP="000F74AA">
      <w:pPr>
        <w:pStyle w:val="2"/>
        <w:numPr>
          <w:ilvl w:val="255"/>
          <w:numId w:val="0"/>
        </w:numPr>
        <w:spacing w:line="240" w:lineRule="auto"/>
        <w:ind w:firstLineChars="200" w:firstLine="640"/>
        <w:rPr>
          <w:rFonts w:ascii="仿宋_GB2312" w:hAnsi="仿宋_GB2312" w:cs="仿宋_GB2312"/>
          <w:color w:val="000000" w:themeColor="text1"/>
          <w:sz w:val="32"/>
          <w:szCs w:val="32"/>
        </w:rPr>
      </w:pPr>
      <w:bookmarkStart w:id="9" w:name="_Hlk59801981"/>
      <w:bookmarkEnd w:id="7"/>
      <w:r>
        <w:rPr>
          <w:rFonts w:ascii="仿宋_GB2312" w:hAnsi="仿宋_GB2312" w:cs="仿宋_GB2312" w:hint="eastAsia"/>
          <w:color w:val="000000" w:themeColor="text1"/>
          <w:sz w:val="32"/>
          <w:szCs w:val="32"/>
        </w:rPr>
        <w:t>聚焦公主岭“十四五”核心任务和历史使命，立足区位、资源、产业、政策“四大比较优势”，重点实施“1126”战略，推动“十四五”振兴突破。</w:t>
      </w:r>
    </w:p>
    <w:bookmarkEnd w:id="9"/>
    <w:p w14:paraId="6B221F0C" w14:textId="77777777" w:rsidR="00501569" w:rsidRDefault="00C74794" w:rsidP="000F74AA">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——一城提升</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color w:val="000000"/>
          <w:sz w:val="32"/>
          <w:szCs w:val="32"/>
        </w:rPr>
        <w:t>把深入实施国家县城新型城镇化建设示范作为公主岭“十四五”振兴突破的战略基础。按照现代化中等城市标准，坚持以人的城镇化为核心、以提高质量为导向，全力实施县城新型城镇化建设示范，集中优势资源加快补齐中心城区短板弱项，全面提升公共服务设施“硬能力”</w:t>
      </w:r>
      <w:r>
        <w:rPr>
          <w:rFonts w:ascii="仿宋_GB2312" w:eastAsia="仿宋_GB2312" w:hAnsi="仿宋_GB2312" w:cs="仿宋_GB2312" w:hint="eastAsia"/>
          <w:color w:val="000000"/>
          <w:sz w:val="32"/>
          <w:szCs w:val="32"/>
        </w:rPr>
        <w:lastRenderedPageBreak/>
        <w:t>和规划建设管理“软实力”，涵养城市文化，塑造城市精神，增强城区综合承载能力，创建国家卫生城，冲击全国百强县，进一步提升公主岭城市知名度和竞争力。</w:t>
      </w:r>
    </w:p>
    <w:p w14:paraId="170E0F91" w14:textId="77777777" w:rsidR="00501569" w:rsidRDefault="00C74794" w:rsidP="000F74AA">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color w:val="000000"/>
          <w:sz w:val="32"/>
          <w:szCs w:val="32"/>
        </w:rPr>
        <w:t>——一区引领</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sz w:val="32"/>
          <w:szCs w:val="32"/>
        </w:rPr>
        <w:t>把建设长春国家农业高新技术产业示范区作为公主岭“十四五”振兴突破的战略支点。全力推动引智聚资、集企提质、创新创业，打造以玉米全产业链为主导的现代农业产业集群，打造玉米科技创新高地、人才高地和产业高地，建设成为在全国和世界具有影响力的粮食生产高效提质先导区、黑土地可持续发展典范区、玉米全产业链发展集聚区、东北特色乡村振兴样板区，引领全市乃至全省率先实现农业现代化。</w:t>
      </w:r>
    </w:p>
    <w:p w14:paraId="1177D910" w14:textId="77777777" w:rsidR="00501569" w:rsidRDefault="00C74794" w:rsidP="000F74AA">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——两板同创</w:t>
      </w:r>
      <w:r>
        <w:rPr>
          <w:rFonts w:ascii="仿宋_GB2312" w:eastAsia="仿宋_GB2312" w:hAnsi="仿宋_GB2312" w:cs="仿宋_GB2312" w:hint="eastAsia"/>
          <w:bCs/>
          <w:color w:val="000000"/>
          <w:sz w:val="32"/>
          <w:szCs w:val="32"/>
        </w:rPr>
        <w:t>。把建设长春国际汽车城、国家区域创新中心两大板块作为公主岭“十四五”振兴突破的战略平台。</w:t>
      </w:r>
      <w:r>
        <w:rPr>
          <w:rFonts w:ascii="仿宋_GB2312" w:eastAsia="仿宋_GB2312" w:hAnsi="仿宋_GB2312" w:cs="仿宋_GB2312" w:hint="eastAsia"/>
          <w:color w:val="000000"/>
          <w:sz w:val="32"/>
          <w:szCs w:val="32"/>
        </w:rPr>
        <w:t>全面落实吉林省“一主、六双”产业空间布局，坚持“区域功能互补，产业一体同构”的发展思路</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color w:val="000000"/>
          <w:sz w:val="32"/>
          <w:szCs w:val="32"/>
        </w:rPr>
        <w:t>主动对接、融入长春市高质量发展“四大板块”建设。与长春汽开区共同创建长春国际汽车城板块，有力承接汽车产业转移，推进产城融合发展。与长春高新区共同创建国家区域创新中心板块，加强协同创新，实现土地资源、高新产业、科创成果有机结合。</w:t>
      </w:r>
    </w:p>
    <w:p w14:paraId="3DCEF4CF" w14:textId="77777777" w:rsidR="00501569" w:rsidRDefault="00C74794" w:rsidP="000F74AA">
      <w:pPr>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bCs/>
          <w:sz w:val="32"/>
        </w:rPr>
        <w:t>——两带同构</w:t>
      </w:r>
      <w:r>
        <w:rPr>
          <w:rFonts w:ascii="仿宋_GB2312" w:eastAsia="仿宋_GB2312" w:hAnsi="仿宋_GB2312" w:cs="仿宋_GB2312" w:hint="eastAsia"/>
          <w:sz w:val="32"/>
        </w:rPr>
        <w:t>。</w:t>
      </w:r>
      <w:bookmarkStart w:id="10" w:name="_Hlk58053820"/>
      <w:r>
        <w:rPr>
          <w:rFonts w:ascii="仿宋_GB2312" w:eastAsia="仿宋_GB2312" w:hAnsi="仿宋_GB2312" w:cs="仿宋_GB2312" w:hint="eastAsia"/>
          <w:bCs/>
          <w:sz w:val="32"/>
          <w:szCs w:val="32"/>
        </w:rPr>
        <w:t>把构建长平发展带和长深发展带作为公主岭“十四五”振兴突破的战略通道。围绕京哈高速沿线乡镇构建长平城乡融合、产城融合示范带；围绕长深高速沿线</w:t>
      </w:r>
      <w:r>
        <w:rPr>
          <w:rFonts w:ascii="仿宋_GB2312" w:eastAsia="仿宋_GB2312" w:hAnsi="仿宋_GB2312" w:cs="仿宋_GB2312" w:hint="eastAsia"/>
          <w:bCs/>
          <w:sz w:val="32"/>
          <w:szCs w:val="32"/>
        </w:rPr>
        <w:lastRenderedPageBreak/>
        <w:t>乡镇构建长深现代农业一二三产融合发展示范带，辐射带动周边乡镇快速发展。“两带”贯通公主岭、北联长春市、南向京津冀，既是全面深度融入长春现代化都市圈和国内国际双循环新发展格局的产业大走廊，也是布局推动全域均衡发展的主动脉。</w:t>
      </w:r>
    </w:p>
    <w:bookmarkEnd w:id="10"/>
    <w:p w14:paraId="4792734E" w14:textId="77777777" w:rsidR="00501569" w:rsidRDefault="00C74794" w:rsidP="000F74AA">
      <w:pPr>
        <w:ind w:firstLineChars="200" w:firstLine="643"/>
        <w:rPr>
          <w:rFonts w:ascii="仿宋_GB2312" w:eastAsia="仿宋_GB2312" w:hAnsi="仿宋_GB2312" w:cs="仿宋_GB2312"/>
          <w:bCs/>
          <w:color w:val="000000"/>
          <w:sz w:val="32"/>
          <w:szCs w:val="32"/>
        </w:rPr>
      </w:pPr>
      <w:r>
        <w:rPr>
          <w:rFonts w:ascii="仿宋_GB2312" w:eastAsia="仿宋_GB2312" w:hAnsi="仿宋_GB2312" w:cs="仿宋_GB2312" w:hint="eastAsia"/>
          <w:b/>
          <w:color w:val="000000"/>
          <w:sz w:val="32"/>
          <w:szCs w:val="32"/>
        </w:rPr>
        <w:t>——六业并举</w:t>
      </w:r>
      <w:r>
        <w:rPr>
          <w:rFonts w:ascii="仿宋_GB2312" w:eastAsia="仿宋_GB2312" w:hAnsi="仿宋_GB2312" w:cs="仿宋_GB2312" w:hint="eastAsia"/>
          <w:bCs/>
          <w:color w:val="000000"/>
          <w:sz w:val="32"/>
          <w:szCs w:val="32"/>
        </w:rPr>
        <w:t>。</w:t>
      </w:r>
      <w:r>
        <w:rPr>
          <w:rFonts w:ascii="仿宋_GB2312" w:eastAsia="仿宋_GB2312" w:hAnsi="仿宋_GB2312" w:cs="仿宋_GB2312" w:hint="eastAsia"/>
          <w:color w:val="000000"/>
          <w:sz w:val="32"/>
          <w:szCs w:val="32"/>
        </w:rPr>
        <w:t>把做大做强现代</w:t>
      </w:r>
      <w:r>
        <w:rPr>
          <w:rFonts w:ascii="仿宋_GB2312" w:eastAsia="仿宋_GB2312" w:hAnsi="仿宋_GB2312" w:cs="仿宋_GB2312" w:hint="eastAsia"/>
          <w:sz w:val="32"/>
          <w:szCs w:val="32"/>
          <w:lang w:val="zh-TW"/>
        </w:rPr>
        <w:t>食品</w:t>
      </w:r>
      <w:r>
        <w:rPr>
          <w:rFonts w:ascii="仿宋_GB2312" w:eastAsia="仿宋_GB2312" w:hAnsi="仿宋_GB2312" w:cs="仿宋_GB2312" w:hint="eastAsia"/>
          <w:sz w:val="32"/>
          <w:szCs w:val="32"/>
          <w:lang w:val="zh-TW" w:eastAsia="zh-TW"/>
        </w:rPr>
        <w:t>、</w:t>
      </w:r>
      <w:r>
        <w:rPr>
          <w:rFonts w:ascii="仿宋_GB2312" w:eastAsia="仿宋_GB2312" w:hAnsi="仿宋_GB2312" w:cs="仿宋_GB2312" w:hint="eastAsia"/>
          <w:sz w:val="32"/>
          <w:szCs w:val="32"/>
          <w:lang w:val="zh-TW"/>
        </w:rPr>
        <w:t>装备制造</w:t>
      </w:r>
      <w:r>
        <w:rPr>
          <w:rFonts w:ascii="仿宋_GB2312" w:eastAsia="仿宋_GB2312" w:hAnsi="仿宋_GB2312" w:cs="仿宋_GB2312" w:hint="eastAsia"/>
          <w:sz w:val="32"/>
          <w:szCs w:val="32"/>
          <w:lang w:val="zh-TW" w:eastAsia="zh-TW"/>
        </w:rPr>
        <w:t>、现代物流、</w:t>
      </w:r>
      <w:r>
        <w:rPr>
          <w:rFonts w:ascii="仿宋_GB2312" w:eastAsia="仿宋_GB2312" w:hAnsi="仿宋_GB2312" w:cs="仿宋_GB2312" w:hint="eastAsia"/>
          <w:sz w:val="32"/>
          <w:szCs w:val="32"/>
          <w:lang w:val="zh-TW"/>
        </w:rPr>
        <w:t>现代种子、文旅和医药</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rPr>
        <w:t>六大产业</w:t>
      </w:r>
      <w:r>
        <w:rPr>
          <w:rFonts w:ascii="仿宋_GB2312" w:eastAsia="仿宋_GB2312" w:hAnsi="仿宋_GB2312" w:cs="仿宋_GB2312" w:hint="eastAsia"/>
          <w:color w:val="000000"/>
          <w:sz w:val="32"/>
          <w:szCs w:val="32"/>
          <w:lang w:val="zh-TW"/>
        </w:rPr>
        <w:t>”</w:t>
      </w:r>
      <w:r>
        <w:rPr>
          <w:rFonts w:ascii="仿宋_GB2312" w:eastAsia="仿宋_GB2312" w:hAnsi="仿宋_GB2312" w:cs="仿宋_GB2312" w:hint="eastAsia"/>
          <w:color w:val="000000"/>
          <w:sz w:val="32"/>
          <w:szCs w:val="32"/>
        </w:rPr>
        <w:t>作为公主岭“十四五”振兴突破的战略主导。贯彻落实</w:t>
      </w:r>
      <w:r>
        <w:rPr>
          <w:rFonts w:ascii="仿宋_GB2312" w:eastAsia="仿宋_GB2312" w:hAnsi="仿宋_GB2312" w:cs="仿宋_GB2312" w:hint="eastAsia"/>
          <w:sz w:val="32"/>
          <w:szCs w:val="32"/>
        </w:rPr>
        <w:t>吉林省“一主、六双”产业空间布局和长春市“</w:t>
      </w:r>
      <w:r w:rsidR="009E5D77">
        <w:rPr>
          <w:rFonts w:ascii="仿宋_GB2312" w:eastAsia="仿宋_GB2312" w:hAnsi="仿宋_GB2312" w:cs="仿宋_GB2312" w:hint="eastAsia"/>
          <w:sz w:val="32"/>
          <w:szCs w:val="32"/>
        </w:rPr>
        <w:t>一个目标、</w:t>
      </w:r>
      <w:r>
        <w:rPr>
          <w:rFonts w:ascii="仿宋_GB2312" w:eastAsia="仿宋_GB2312" w:hAnsi="仿宋_GB2312" w:cs="仿宋_GB2312" w:hint="eastAsia"/>
          <w:sz w:val="32"/>
          <w:szCs w:val="32"/>
        </w:rPr>
        <w:t>一个体系、四大板块、两大基地</w:t>
      </w:r>
      <w:r w:rsidR="009E5D77">
        <w:rPr>
          <w:rFonts w:ascii="仿宋_GB2312" w:eastAsia="仿宋_GB2312" w:hAnsi="仿宋_GB2312" w:cs="仿宋_GB2312" w:hint="eastAsia"/>
          <w:sz w:val="32"/>
          <w:szCs w:val="32"/>
        </w:rPr>
        <w:t>、五大城市</w:t>
      </w:r>
      <w:r>
        <w:rPr>
          <w:rFonts w:ascii="仿宋_GB2312" w:eastAsia="仿宋_GB2312" w:hAnsi="仿宋_GB2312" w:cs="仿宋_GB2312" w:hint="eastAsia"/>
          <w:sz w:val="32"/>
          <w:szCs w:val="32"/>
        </w:rPr>
        <w:t>”战略部署，</w:t>
      </w:r>
      <w:r>
        <w:rPr>
          <w:rFonts w:ascii="仿宋_GB2312" w:eastAsia="仿宋_GB2312" w:hAnsi="仿宋_GB2312" w:cs="仿宋_GB2312" w:hint="eastAsia"/>
          <w:color w:val="000000"/>
          <w:sz w:val="32"/>
          <w:szCs w:val="32"/>
        </w:rPr>
        <w:t>推进产业基础高级化、产业链现代化，围绕产业链部署创新链，围绕创新链布局产业链，提升全产业链水平，加快构建现代产业体系，</w:t>
      </w:r>
      <w:r>
        <w:rPr>
          <w:rFonts w:ascii="仿宋_GB2312" w:eastAsia="仿宋_GB2312" w:hAnsi="仿宋_GB2312" w:cs="仿宋_GB2312" w:hint="eastAsia"/>
          <w:bCs/>
          <w:color w:val="000000"/>
          <w:sz w:val="32"/>
          <w:szCs w:val="32"/>
        </w:rPr>
        <w:t>形成多点支撑、多业并举、多元发展的产业发展新格局。</w:t>
      </w:r>
    </w:p>
    <w:p w14:paraId="585E4376" w14:textId="77777777" w:rsidR="00501569" w:rsidRPr="007F02F9"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11" w:name="_Toc10479"/>
      <w:r w:rsidRPr="007F02F9">
        <w:rPr>
          <w:rFonts w:ascii="楷体_GB2312" w:eastAsia="楷体_GB2312" w:hAnsi="楷体_GB2312" w:cs="楷体_GB2312" w:hint="eastAsia"/>
          <w:b/>
          <w:sz w:val="32"/>
          <w:szCs w:val="32"/>
        </w:rPr>
        <w:t>第六节 发展目标</w:t>
      </w:r>
      <w:bookmarkEnd w:id="11"/>
    </w:p>
    <w:p w14:paraId="334EF4B0" w14:textId="77777777" w:rsidR="00501569" w:rsidRDefault="00C74794" w:rsidP="000F74AA">
      <w:pPr>
        <w:ind w:firstLineChars="200" w:firstLine="64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今后五年，要准确把握公主岭历史方位和发展阶段性特征，锚定</w:t>
      </w:r>
      <w:bookmarkStart w:id="12" w:name="_Hlk58778769"/>
      <w:r w:rsidR="00B405FE">
        <w:rPr>
          <w:rFonts w:ascii="仿宋_GB2312" w:eastAsia="仿宋_GB2312" w:hAnsi="仿宋_GB2312" w:cs="仿宋_GB2312" w:hint="eastAsia"/>
          <w:bCs/>
          <w:color w:val="000000"/>
          <w:sz w:val="32"/>
          <w:szCs w:val="32"/>
        </w:rPr>
        <w:t>2</w:t>
      </w:r>
      <w:r w:rsidR="00B405FE">
        <w:rPr>
          <w:rFonts w:ascii="仿宋_GB2312" w:eastAsia="仿宋_GB2312" w:hAnsi="仿宋_GB2312" w:cs="仿宋_GB2312"/>
          <w:bCs/>
          <w:color w:val="000000"/>
          <w:sz w:val="32"/>
          <w:szCs w:val="32"/>
        </w:rPr>
        <w:t>035</w:t>
      </w:r>
      <w:r>
        <w:rPr>
          <w:rFonts w:ascii="仿宋_GB2312" w:eastAsia="仿宋_GB2312" w:hAnsi="仿宋_GB2312" w:cs="仿宋_GB2312" w:hint="eastAsia"/>
          <w:bCs/>
          <w:color w:val="000000"/>
          <w:sz w:val="32"/>
          <w:szCs w:val="32"/>
        </w:rPr>
        <w:t>年</w:t>
      </w:r>
      <w:bookmarkEnd w:id="12"/>
      <w:r>
        <w:rPr>
          <w:rFonts w:ascii="仿宋_GB2312" w:eastAsia="仿宋_GB2312" w:hAnsi="仿宋_GB2312" w:cs="仿宋_GB2312" w:hint="eastAsia"/>
          <w:bCs/>
          <w:color w:val="000000"/>
          <w:sz w:val="32"/>
          <w:szCs w:val="32"/>
        </w:rPr>
        <w:t>基本实现社会主义现代化远景目标，对标</w:t>
      </w:r>
      <w:r w:rsidR="00B405FE">
        <w:rPr>
          <w:rFonts w:ascii="仿宋_GB2312" w:eastAsia="仿宋_GB2312" w:hAnsi="仿宋_GB2312" w:cs="仿宋_GB2312" w:hint="eastAsia"/>
          <w:bCs/>
          <w:color w:val="000000"/>
          <w:sz w:val="32"/>
          <w:szCs w:val="32"/>
        </w:rPr>
        <w:t>2</w:t>
      </w:r>
      <w:r w:rsidR="00B405FE">
        <w:rPr>
          <w:rFonts w:ascii="仿宋_GB2312" w:eastAsia="仿宋_GB2312" w:hAnsi="仿宋_GB2312" w:cs="仿宋_GB2312"/>
          <w:bCs/>
          <w:color w:val="000000"/>
          <w:sz w:val="32"/>
          <w:szCs w:val="32"/>
        </w:rPr>
        <w:t>030</w:t>
      </w:r>
      <w:r>
        <w:rPr>
          <w:rFonts w:ascii="仿宋_GB2312" w:eastAsia="仿宋_GB2312" w:hAnsi="仿宋_GB2312" w:cs="仿宋_GB2312" w:hint="eastAsia"/>
          <w:bCs/>
          <w:color w:val="000000"/>
          <w:sz w:val="32"/>
          <w:szCs w:val="32"/>
        </w:rPr>
        <w:t>年吉林省实现全面振兴全方位振兴安排部署，加快融入建设长春现代化都市圈，在高质量发展上实现新突破，在农业农村现代化建设上迈出关键性步伐，在保障改善民生上取得标志性成果，在营造昂扬向上的振兴氛围上实现根本性提升，全面建设长春现代化都市圈新型中等城市。</w:t>
      </w:r>
    </w:p>
    <w:p w14:paraId="770DD036" w14:textId="77777777" w:rsidR="00501569" w:rsidRDefault="00C74794" w:rsidP="000F74AA">
      <w:pPr>
        <w:pStyle w:val="ad"/>
        <w:ind w:firstLineChars="200" w:firstLine="643"/>
        <w:rPr>
          <w:rFonts w:ascii="仿宋_GB2312" w:eastAsia="仿宋_GB2312" w:hAnsi="仿宋_GB2312" w:cs="仿宋_GB2312"/>
          <w:bCs/>
          <w:color w:val="000000"/>
          <w:sz w:val="32"/>
          <w:szCs w:val="32"/>
        </w:rPr>
      </w:pPr>
      <w:r>
        <w:rPr>
          <w:rFonts w:ascii="仿宋_GB2312" w:eastAsia="仿宋_GB2312" w:hAnsi="仿宋_GB2312" w:cs="仿宋_GB2312" w:hint="eastAsia"/>
          <w:b/>
          <w:color w:val="000000"/>
          <w:sz w:val="32"/>
          <w:szCs w:val="32"/>
        </w:rPr>
        <w:t>——经济发展取得新突破。</w:t>
      </w:r>
      <w:r>
        <w:rPr>
          <w:rFonts w:ascii="仿宋_GB2312" w:eastAsia="仿宋_GB2312" w:hAnsi="仿宋_GB2312" w:cs="仿宋_GB2312" w:hint="eastAsia"/>
          <w:bCs/>
          <w:color w:val="000000"/>
          <w:sz w:val="32"/>
          <w:szCs w:val="32"/>
        </w:rPr>
        <w:t>经济总量迈上新台阶，年均</w:t>
      </w:r>
      <w:r>
        <w:rPr>
          <w:rFonts w:ascii="仿宋_GB2312" w:eastAsia="仿宋_GB2312" w:hAnsi="仿宋_GB2312" w:cs="仿宋_GB2312" w:hint="eastAsia"/>
          <w:bCs/>
          <w:color w:val="000000"/>
          <w:sz w:val="32"/>
          <w:szCs w:val="32"/>
        </w:rPr>
        <w:lastRenderedPageBreak/>
        <w:t>经济增速按8%左右安排，产业结构加快调整，农业农村现代化水平走在全国前列，维护国家粮食安全能力不断增强，</w:t>
      </w:r>
      <w:r>
        <w:rPr>
          <w:rFonts w:ascii="仿宋_GB2312" w:eastAsia="仿宋_GB2312" w:hAnsi="仿宋_GB2312" w:cs="仿宋_GB2312" w:hint="eastAsia"/>
          <w:bCs/>
          <w:sz w:val="32"/>
          <w:szCs w:val="32"/>
        </w:rPr>
        <w:t>制造业增加值占GDP比重超过25%，常住人口城镇化率达到62%，</w:t>
      </w:r>
      <w:r>
        <w:rPr>
          <w:rFonts w:ascii="仿宋_GB2312" w:eastAsia="仿宋_GB2312" w:hAnsi="仿宋_GB2312" w:cs="仿宋_GB2312" w:hint="eastAsia"/>
          <w:bCs/>
          <w:color w:val="000000"/>
          <w:sz w:val="32"/>
          <w:szCs w:val="32"/>
        </w:rPr>
        <w:t>综合实力在全省县域当先锋站排头，进入国家百强县行列。</w:t>
      </w:r>
    </w:p>
    <w:p w14:paraId="67F9A45F" w14:textId="77777777" w:rsidR="00501569" w:rsidRDefault="00C74794" w:rsidP="000F74AA">
      <w:pPr>
        <w:pStyle w:val="ad"/>
        <w:ind w:firstLineChars="196" w:firstLine="630"/>
        <w:rPr>
          <w:rFonts w:ascii="仿宋_GB2312" w:eastAsia="仿宋_GB2312" w:hAnsi="仿宋_GB2312" w:cs="仿宋_GB2312"/>
          <w:color w:val="000000"/>
          <w:sz w:val="32"/>
          <w:szCs w:val="32"/>
        </w:rPr>
      </w:pPr>
      <w:r>
        <w:rPr>
          <w:rFonts w:ascii="仿宋_GB2312" w:eastAsia="仿宋_GB2312" w:hAnsi="仿宋_GB2312" w:cs="仿宋_GB2312" w:hint="eastAsia"/>
          <w:b/>
          <w:color w:val="000000"/>
          <w:sz w:val="32"/>
          <w:szCs w:val="32"/>
        </w:rPr>
        <w:t>——同城发展实现新进展。</w:t>
      </w:r>
      <w:r>
        <w:rPr>
          <w:rFonts w:ascii="仿宋_GB2312" w:eastAsia="仿宋_GB2312" w:hAnsi="仿宋_GB2312" w:cs="仿宋_GB2312" w:hint="eastAsia"/>
          <w:bCs/>
          <w:sz w:val="32"/>
          <w:szCs w:val="32"/>
        </w:rPr>
        <w:t>按照城区建成面积50平方公里、常住人口50万的标准，加快推进与长春</w:t>
      </w:r>
      <w:r>
        <w:rPr>
          <w:rFonts w:ascii="仿宋_GB2312" w:eastAsia="仿宋_GB2312" w:hAnsi="仿宋_GB2312" w:cs="仿宋_GB2312" w:hint="eastAsia"/>
          <w:sz w:val="32"/>
          <w:szCs w:val="32"/>
        </w:rPr>
        <w:t>城市规划、基础设施、产业布局、公共服务、生态治理</w:t>
      </w:r>
      <w:r>
        <w:rPr>
          <w:rFonts w:ascii="仿宋_GB2312" w:eastAsia="仿宋_GB2312" w:hAnsi="仿宋_GB2312" w:cs="仿宋_GB2312" w:hint="eastAsia"/>
          <w:bCs/>
          <w:sz w:val="32"/>
          <w:szCs w:val="32"/>
        </w:rPr>
        <w:t>“五统一”</w:t>
      </w:r>
      <w:r>
        <w:rPr>
          <w:rFonts w:ascii="仿宋_GB2312" w:eastAsia="仿宋_GB2312" w:hAnsi="仿宋_GB2312" w:cs="仿宋_GB2312" w:hint="eastAsia"/>
          <w:sz w:val="32"/>
          <w:szCs w:val="32"/>
        </w:rPr>
        <w:t>，</w:t>
      </w:r>
      <w:r>
        <w:rPr>
          <w:rFonts w:ascii="仿宋_GB2312" w:eastAsia="仿宋_GB2312" w:hAnsi="仿宋_GB2312" w:cs="仿宋_GB2312" w:hint="eastAsia"/>
          <w:bCs/>
          <w:sz w:val="32"/>
          <w:szCs w:val="32"/>
        </w:rPr>
        <w:t>积极承接长春经济社会文化教育功能、行政职能和开放合作效能，配套承接长春产业链集群，</w:t>
      </w:r>
      <w:r>
        <w:rPr>
          <w:rFonts w:ascii="仿宋_GB2312" w:eastAsia="仿宋_GB2312" w:hAnsi="仿宋_GB2312" w:cs="仿宋_GB2312" w:hint="eastAsia"/>
          <w:sz w:val="32"/>
          <w:szCs w:val="32"/>
        </w:rPr>
        <w:t>全面建设长春现代化都市圈新型中等城市</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不断提升在长春现代化都市圈城市群的战略地位，推进公主岭市</w:t>
      </w:r>
      <w:r>
        <w:rPr>
          <w:rFonts w:ascii="仿宋_GB2312" w:eastAsia="仿宋_GB2312" w:hAnsi="仿宋_GB2312" w:cs="仿宋_GB2312" w:hint="eastAsia"/>
          <w:color w:val="000000"/>
          <w:sz w:val="32"/>
          <w:szCs w:val="32"/>
        </w:rPr>
        <w:t>成为长春新城区。长春国际汽车城和国家区域创新中心合作建设成效显著、示范作用突出。</w:t>
      </w:r>
    </w:p>
    <w:p w14:paraId="6F23BAFB" w14:textId="77777777" w:rsidR="00501569" w:rsidRDefault="00C74794" w:rsidP="000F74AA">
      <w:pPr>
        <w:pStyle w:val="ad"/>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——改革开放迈出新步伐。</w:t>
      </w:r>
      <w:r>
        <w:rPr>
          <w:rFonts w:ascii="仿宋_GB2312" w:eastAsia="仿宋_GB2312" w:hAnsi="仿宋_GB2312" w:cs="仿宋_GB2312" w:hint="eastAsia"/>
          <w:sz w:val="32"/>
          <w:szCs w:val="32"/>
        </w:rPr>
        <w:t>高标准市场体系基本建成，市场主体更加充满活力，产权制度改革和要素市场化配置改革取得重大进展，公平竞争制度更加健全，更高水平开放型经济新体制基本形成，外贸进出口总额年均增长</w:t>
      </w:r>
      <w:r w:rsidR="0024493E">
        <w:rPr>
          <w:rFonts w:ascii="仿宋_GB2312" w:eastAsia="仿宋_GB2312" w:hAnsi="仿宋_GB2312" w:cs="仿宋_GB2312"/>
          <w:sz w:val="32"/>
          <w:szCs w:val="32"/>
        </w:rPr>
        <w:t>3</w:t>
      </w:r>
      <w:r>
        <w:rPr>
          <w:rFonts w:ascii="仿宋_GB2312" w:eastAsia="仿宋_GB2312" w:hAnsi="仿宋_GB2312" w:cs="仿宋_GB2312" w:hint="eastAsia"/>
          <w:sz w:val="32"/>
          <w:szCs w:val="32"/>
        </w:rPr>
        <w:t>%以上，成为长春市向南开放的桥头堡。</w:t>
      </w:r>
    </w:p>
    <w:p w14:paraId="48C933A8" w14:textId="77777777" w:rsidR="00501569" w:rsidRDefault="00C74794" w:rsidP="000F74AA">
      <w:pPr>
        <w:pStyle w:val="ad"/>
        <w:ind w:firstLineChars="200" w:firstLine="643"/>
        <w:rPr>
          <w:rFonts w:ascii="仿宋_GB2312" w:eastAsia="仿宋_GB2312" w:hAnsi="仿宋_GB2312" w:cs="仿宋_GB2312"/>
          <w:sz w:val="32"/>
          <w:szCs w:val="32"/>
          <w:highlight w:val="yellow"/>
        </w:rPr>
      </w:pPr>
      <w:r>
        <w:rPr>
          <w:rFonts w:ascii="仿宋_GB2312" w:eastAsia="仿宋_GB2312" w:hAnsi="仿宋_GB2312" w:cs="仿宋_GB2312" w:hint="eastAsia"/>
          <w:b/>
          <w:bCs/>
          <w:sz w:val="32"/>
          <w:szCs w:val="32"/>
        </w:rPr>
        <w:t>——社会文明展现新高度。</w:t>
      </w:r>
      <w:r>
        <w:rPr>
          <w:rFonts w:ascii="仿宋_GB2312" w:eastAsia="仿宋_GB2312" w:hAnsi="仿宋_GB2312" w:cs="仿宋_GB2312" w:hint="eastAsia"/>
          <w:sz w:val="32"/>
          <w:szCs w:val="32"/>
        </w:rPr>
        <w:t>社会主义核心价值观深入人心，人民思想道德素质、科学文化素质和身心健康素质明显提高，公共文化服务体系和文化产业体系更加健全，文化实践活动更加普及，人民精神文化生活日益丰富，城市文化软实力显著提升。</w:t>
      </w:r>
    </w:p>
    <w:p w14:paraId="69CF9343" w14:textId="77777777" w:rsidR="00501569" w:rsidRDefault="00C74794" w:rsidP="000F74AA">
      <w:pPr>
        <w:pStyle w:val="ad"/>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——生态建设开创新局面。</w:t>
      </w:r>
      <w:r>
        <w:rPr>
          <w:rFonts w:ascii="仿宋_GB2312" w:eastAsia="仿宋_GB2312" w:hAnsi="仿宋_GB2312" w:cs="仿宋_GB2312" w:hint="eastAsia"/>
          <w:sz w:val="32"/>
          <w:szCs w:val="32"/>
        </w:rPr>
        <w:t>国土空间开发保护格局得到优化，生产生活方式绿色转型成效显著，能源资源配置更加合理，单位GDP能源消耗和二氧化碳排放持续下降，森林覆盖率和城区绿地率稳步提升，大气、水和土地环境质量持续向好，城乡人居环境明显改善。</w:t>
      </w:r>
    </w:p>
    <w:p w14:paraId="5B516C5F" w14:textId="77777777" w:rsidR="00501569" w:rsidRDefault="00C74794" w:rsidP="000F74AA">
      <w:pPr>
        <w:pStyle w:val="ad"/>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——民生福祉达到新水平。</w:t>
      </w:r>
      <w:r>
        <w:rPr>
          <w:rFonts w:ascii="仿宋_GB2312" w:eastAsia="仿宋_GB2312" w:hAnsi="仿宋_GB2312" w:cs="仿宋_GB2312" w:hint="eastAsia"/>
          <w:sz w:val="32"/>
          <w:szCs w:val="32"/>
        </w:rPr>
        <w:t>社会就业质量更高、更加充分，居民收入增长和经济增长基本同步，分配结构明显改善，基本公共服务均等化水平明显提高，全民受教育程度不断提升，多层次社会保障体系更加健全，卫生健康体系更加完善，脱贫攻坚成果巩固拓展，乡村振兴战略全面推进。</w:t>
      </w:r>
    </w:p>
    <w:p w14:paraId="5DB75C17" w14:textId="77777777" w:rsidR="00501569" w:rsidRDefault="00C74794" w:rsidP="000F74AA">
      <w:pPr>
        <w:pStyle w:val="ad"/>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——治理效能获得新跃升。</w:t>
      </w:r>
      <w:r>
        <w:rPr>
          <w:rFonts w:ascii="仿宋_GB2312" w:eastAsia="仿宋_GB2312" w:hAnsi="仿宋_GB2312" w:cs="仿宋_GB2312" w:hint="eastAsia"/>
          <w:sz w:val="32"/>
          <w:szCs w:val="32"/>
        </w:rPr>
        <w:t>法治公主岭建设进入新阶段，社会主义民主法治更加健全，社会公平正义进一步彰显，政府作用更好发挥，行政效率和公信力显著提升，基层治理水平明显提高，防范化解重大风险体制机制不断健全，发展安全保障更加有力。</w:t>
      </w:r>
    </w:p>
    <w:p w14:paraId="5E54C78E" w14:textId="77777777" w:rsidR="00951CDE" w:rsidRDefault="00951CDE" w:rsidP="000F74AA">
      <w:pPr>
        <w:adjustRightInd w:val="0"/>
        <w:snapToGrid w:val="0"/>
        <w:spacing w:line="240" w:lineRule="atLeast"/>
        <w:jc w:val="center"/>
        <w:rPr>
          <w:rFonts w:ascii="楷体_GB2312" w:eastAsia="楷体_GB2312" w:hAnsi="楷体_GB2312" w:cs="楷体_GB2312"/>
          <w:b/>
          <w:bCs/>
          <w:sz w:val="28"/>
          <w:szCs w:val="28"/>
        </w:rPr>
      </w:pPr>
    </w:p>
    <w:p w14:paraId="75786D52" w14:textId="77777777" w:rsidR="00501569" w:rsidRDefault="00C74794" w:rsidP="000F74AA">
      <w:pPr>
        <w:adjustRightInd w:val="0"/>
        <w:snapToGrid w:val="0"/>
        <w:spacing w:line="240" w:lineRule="atLeast"/>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专栏1：公主岭市“十四五”时期经济社会发展主要指标</w:t>
      </w:r>
    </w:p>
    <w:p w14:paraId="2806E1B8" w14:textId="77777777" w:rsidR="000F74AA" w:rsidRPr="000F74AA" w:rsidRDefault="000F74AA" w:rsidP="000F74AA">
      <w:pPr>
        <w:pStyle w:val="2"/>
        <w:adjustRightInd w:val="0"/>
        <w:snapToGrid w:val="0"/>
        <w:spacing w:line="240" w:lineRule="atLeast"/>
        <w:ind w:firstLine="420"/>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709"/>
        <w:gridCol w:w="3970"/>
        <w:gridCol w:w="993"/>
        <w:gridCol w:w="990"/>
        <w:gridCol w:w="828"/>
        <w:gridCol w:w="895"/>
      </w:tblGrid>
      <w:tr w:rsidR="001740D9" w14:paraId="095A05FF" w14:textId="77777777" w:rsidTr="000F74AA">
        <w:trPr>
          <w:trHeight w:val="1027"/>
          <w:tblHeader/>
          <w:jc w:val="center"/>
        </w:trPr>
        <w:tc>
          <w:tcPr>
            <w:tcW w:w="647" w:type="dxa"/>
            <w:vAlign w:val="center"/>
          </w:tcPr>
          <w:p w14:paraId="2B0E1E4C"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序号</w:t>
            </w:r>
          </w:p>
        </w:tc>
        <w:tc>
          <w:tcPr>
            <w:tcW w:w="709" w:type="dxa"/>
            <w:shd w:val="clear" w:color="auto" w:fill="auto"/>
            <w:vAlign w:val="center"/>
          </w:tcPr>
          <w:p w14:paraId="57AD03E7"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类别</w:t>
            </w:r>
          </w:p>
        </w:tc>
        <w:tc>
          <w:tcPr>
            <w:tcW w:w="3970" w:type="dxa"/>
            <w:shd w:val="clear" w:color="auto" w:fill="auto"/>
            <w:vAlign w:val="center"/>
          </w:tcPr>
          <w:p w14:paraId="237B9AE6"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指  标</w:t>
            </w:r>
          </w:p>
        </w:tc>
        <w:tc>
          <w:tcPr>
            <w:tcW w:w="993" w:type="dxa"/>
            <w:shd w:val="clear" w:color="auto" w:fill="auto"/>
            <w:vAlign w:val="center"/>
          </w:tcPr>
          <w:p w14:paraId="57F22532"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2020年</w:t>
            </w:r>
          </w:p>
          <w:p w14:paraId="7F89DF7A"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预计</w:t>
            </w:r>
          </w:p>
        </w:tc>
        <w:tc>
          <w:tcPr>
            <w:tcW w:w="990" w:type="dxa"/>
            <w:shd w:val="clear" w:color="auto" w:fill="auto"/>
            <w:vAlign w:val="center"/>
          </w:tcPr>
          <w:p w14:paraId="674F563C"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2025年目标</w:t>
            </w:r>
          </w:p>
        </w:tc>
        <w:tc>
          <w:tcPr>
            <w:tcW w:w="828" w:type="dxa"/>
            <w:shd w:val="clear" w:color="auto" w:fill="auto"/>
            <w:vAlign w:val="center"/>
          </w:tcPr>
          <w:p w14:paraId="69AC3301"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年均增长（%）</w:t>
            </w:r>
          </w:p>
        </w:tc>
        <w:tc>
          <w:tcPr>
            <w:tcW w:w="895" w:type="dxa"/>
            <w:shd w:val="clear" w:color="auto" w:fill="auto"/>
            <w:vAlign w:val="center"/>
          </w:tcPr>
          <w:p w14:paraId="0E2DAD32" w14:textId="77777777" w:rsidR="001740D9" w:rsidRDefault="001740D9">
            <w:pPr>
              <w:widowControl/>
              <w:snapToGrid w:val="0"/>
              <w:spacing w:line="220" w:lineRule="exact"/>
              <w:jc w:val="center"/>
              <w:rPr>
                <w:rFonts w:ascii="宋体" w:eastAsia="宋体" w:hAnsi="宋体" w:cs="宋体"/>
                <w:b/>
                <w:bCs/>
                <w:kern w:val="0"/>
                <w:szCs w:val="21"/>
              </w:rPr>
            </w:pPr>
            <w:r>
              <w:rPr>
                <w:rFonts w:ascii="宋体" w:eastAsia="宋体" w:hAnsi="宋体" w:cs="宋体" w:hint="eastAsia"/>
                <w:b/>
                <w:bCs/>
                <w:kern w:val="0"/>
                <w:szCs w:val="21"/>
              </w:rPr>
              <w:t>属性</w:t>
            </w:r>
          </w:p>
        </w:tc>
      </w:tr>
      <w:tr w:rsidR="009B2780" w14:paraId="712D0DF8" w14:textId="77777777" w:rsidTr="00832284">
        <w:trPr>
          <w:trHeight w:hRule="exact" w:val="680"/>
          <w:jc w:val="center"/>
        </w:trPr>
        <w:tc>
          <w:tcPr>
            <w:tcW w:w="647" w:type="dxa"/>
            <w:vAlign w:val="center"/>
          </w:tcPr>
          <w:p w14:paraId="5DA4CF44" w14:textId="77777777" w:rsidR="009B2780" w:rsidRDefault="009B2780">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t>1</w:t>
            </w:r>
          </w:p>
        </w:tc>
        <w:tc>
          <w:tcPr>
            <w:tcW w:w="709" w:type="dxa"/>
            <w:vMerge w:val="restart"/>
            <w:shd w:val="clear" w:color="auto" w:fill="auto"/>
            <w:vAlign w:val="center"/>
          </w:tcPr>
          <w:p w14:paraId="16B0566C" w14:textId="77777777" w:rsidR="009B2780" w:rsidRDefault="009B2780">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t>经济发展</w:t>
            </w:r>
          </w:p>
        </w:tc>
        <w:tc>
          <w:tcPr>
            <w:tcW w:w="3970" w:type="dxa"/>
            <w:shd w:val="clear" w:color="auto" w:fill="auto"/>
            <w:vAlign w:val="center"/>
          </w:tcPr>
          <w:p w14:paraId="05F0243C" w14:textId="77777777" w:rsidR="009B2780" w:rsidRDefault="009B2780">
            <w:pPr>
              <w:widowControl/>
              <w:snapToGrid w:val="0"/>
              <w:jc w:val="left"/>
              <w:rPr>
                <w:rFonts w:ascii="宋体" w:eastAsia="宋体" w:hAnsi="宋体" w:cs="宋体"/>
                <w:kern w:val="0"/>
                <w:szCs w:val="21"/>
              </w:rPr>
            </w:pPr>
            <w:r>
              <w:rPr>
                <w:rFonts w:ascii="宋体" w:eastAsia="宋体" w:hAnsi="宋体" w:cs="宋体" w:hint="eastAsia"/>
                <w:kern w:val="0"/>
                <w:szCs w:val="21"/>
              </w:rPr>
              <w:t>地区生产总值（亿元）</w:t>
            </w:r>
          </w:p>
        </w:tc>
        <w:tc>
          <w:tcPr>
            <w:tcW w:w="993" w:type="dxa"/>
            <w:shd w:val="clear" w:color="auto" w:fill="auto"/>
            <w:vAlign w:val="center"/>
          </w:tcPr>
          <w:p w14:paraId="68AAD1B5"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w:t>
            </w:r>
          </w:p>
        </w:tc>
        <w:tc>
          <w:tcPr>
            <w:tcW w:w="990" w:type="dxa"/>
            <w:shd w:val="clear" w:color="auto" w:fill="auto"/>
            <w:vAlign w:val="center"/>
          </w:tcPr>
          <w:p w14:paraId="7C3C0AA1"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w:t>
            </w:r>
          </w:p>
        </w:tc>
        <w:tc>
          <w:tcPr>
            <w:tcW w:w="828" w:type="dxa"/>
            <w:shd w:val="clear" w:color="auto" w:fill="auto"/>
            <w:vAlign w:val="center"/>
          </w:tcPr>
          <w:p w14:paraId="2670C8B0"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8</w:t>
            </w:r>
          </w:p>
        </w:tc>
        <w:tc>
          <w:tcPr>
            <w:tcW w:w="895" w:type="dxa"/>
            <w:shd w:val="clear" w:color="auto" w:fill="auto"/>
            <w:vAlign w:val="center"/>
          </w:tcPr>
          <w:p w14:paraId="4FCFC7B3"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9B2780" w14:paraId="28C8656E" w14:textId="77777777" w:rsidTr="00832284">
        <w:trPr>
          <w:trHeight w:hRule="exact" w:val="680"/>
          <w:jc w:val="center"/>
        </w:trPr>
        <w:tc>
          <w:tcPr>
            <w:tcW w:w="647" w:type="dxa"/>
            <w:vAlign w:val="center"/>
          </w:tcPr>
          <w:p w14:paraId="687DCB2B" w14:textId="77777777" w:rsidR="009B2780" w:rsidRDefault="009B2780">
            <w:pPr>
              <w:widowControl/>
              <w:snapToGrid w:val="0"/>
              <w:jc w:val="center"/>
              <w:rPr>
                <w:rFonts w:ascii="宋体" w:eastAsia="宋体" w:hAnsi="宋体" w:cs="宋体"/>
                <w:b/>
                <w:bCs/>
                <w:kern w:val="0"/>
                <w:szCs w:val="21"/>
              </w:rPr>
            </w:pPr>
            <w:r>
              <w:rPr>
                <w:rFonts w:ascii="宋体" w:eastAsia="宋体" w:hAnsi="宋体" w:cs="宋体"/>
                <w:b/>
                <w:bCs/>
                <w:kern w:val="0"/>
                <w:szCs w:val="21"/>
              </w:rPr>
              <w:t>2</w:t>
            </w:r>
          </w:p>
        </w:tc>
        <w:tc>
          <w:tcPr>
            <w:tcW w:w="709" w:type="dxa"/>
            <w:vMerge/>
            <w:shd w:val="clear" w:color="auto" w:fill="auto"/>
            <w:vAlign w:val="center"/>
          </w:tcPr>
          <w:p w14:paraId="3CE81600" w14:textId="77777777" w:rsidR="009B2780" w:rsidRDefault="009B2780">
            <w:pPr>
              <w:widowControl/>
              <w:snapToGrid w:val="0"/>
              <w:jc w:val="center"/>
              <w:rPr>
                <w:rFonts w:ascii="宋体" w:eastAsia="宋体" w:hAnsi="宋体" w:cs="宋体"/>
                <w:b/>
                <w:bCs/>
                <w:kern w:val="0"/>
                <w:szCs w:val="21"/>
              </w:rPr>
            </w:pPr>
          </w:p>
        </w:tc>
        <w:tc>
          <w:tcPr>
            <w:tcW w:w="3970" w:type="dxa"/>
            <w:shd w:val="clear" w:color="auto" w:fill="auto"/>
            <w:vAlign w:val="center"/>
          </w:tcPr>
          <w:p w14:paraId="2EA0CEA0" w14:textId="77777777" w:rsidR="009B2780" w:rsidRDefault="009B2780">
            <w:pPr>
              <w:widowControl/>
              <w:snapToGrid w:val="0"/>
              <w:jc w:val="left"/>
              <w:rPr>
                <w:rFonts w:ascii="宋体" w:eastAsia="宋体" w:hAnsi="宋体" w:cs="宋体"/>
                <w:kern w:val="0"/>
                <w:szCs w:val="21"/>
              </w:rPr>
            </w:pPr>
            <w:r>
              <w:rPr>
                <w:rFonts w:ascii="宋体" w:eastAsia="宋体" w:hAnsi="宋体" w:cs="宋体" w:hint="eastAsia"/>
                <w:kern w:val="0"/>
                <w:szCs w:val="21"/>
              </w:rPr>
              <w:t>全员劳动生产率</w:t>
            </w:r>
            <w:r w:rsidR="0024493E">
              <w:rPr>
                <w:rFonts w:ascii="宋体" w:eastAsia="宋体" w:hAnsi="宋体" w:cs="宋体" w:hint="eastAsia"/>
                <w:kern w:val="0"/>
                <w:szCs w:val="21"/>
              </w:rPr>
              <w:t>增长（%）</w:t>
            </w:r>
          </w:p>
        </w:tc>
        <w:tc>
          <w:tcPr>
            <w:tcW w:w="993" w:type="dxa"/>
            <w:shd w:val="clear" w:color="auto" w:fill="auto"/>
            <w:vAlign w:val="center"/>
          </w:tcPr>
          <w:p w14:paraId="6A2394AF"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w:t>
            </w:r>
          </w:p>
        </w:tc>
        <w:tc>
          <w:tcPr>
            <w:tcW w:w="990" w:type="dxa"/>
            <w:shd w:val="clear" w:color="auto" w:fill="auto"/>
            <w:vAlign w:val="center"/>
          </w:tcPr>
          <w:p w14:paraId="720BDF21"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w:t>
            </w:r>
          </w:p>
        </w:tc>
        <w:tc>
          <w:tcPr>
            <w:tcW w:w="828" w:type="dxa"/>
            <w:shd w:val="clear" w:color="auto" w:fill="auto"/>
            <w:vAlign w:val="center"/>
          </w:tcPr>
          <w:p w14:paraId="4C7BE1DC" w14:textId="77777777" w:rsidR="009B2780" w:rsidRDefault="009B2780">
            <w:pPr>
              <w:widowControl/>
              <w:snapToGrid w:val="0"/>
              <w:jc w:val="center"/>
              <w:rPr>
                <w:rFonts w:ascii="宋体" w:eastAsia="宋体" w:hAnsi="宋体" w:cs="宋体"/>
                <w:kern w:val="0"/>
                <w:szCs w:val="21"/>
              </w:rPr>
            </w:pPr>
            <w:r>
              <w:rPr>
                <w:rFonts w:ascii="宋体" w:eastAsia="宋体" w:hAnsi="宋体" w:cs="宋体"/>
                <w:kern w:val="0"/>
                <w:szCs w:val="21"/>
              </w:rPr>
              <w:t>7</w:t>
            </w:r>
          </w:p>
        </w:tc>
        <w:tc>
          <w:tcPr>
            <w:tcW w:w="895" w:type="dxa"/>
            <w:shd w:val="clear" w:color="auto" w:fill="auto"/>
            <w:vAlign w:val="center"/>
          </w:tcPr>
          <w:p w14:paraId="47948BEA"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9B2780" w14:paraId="236C77D4" w14:textId="77777777" w:rsidTr="00832284">
        <w:trPr>
          <w:trHeight w:hRule="exact" w:val="680"/>
          <w:jc w:val="center"/>
        </w:trPr>
        <w:tc>
          <w:tcPr>
            <w:tcW w:w="647" w:type="dxa"/>
            <w:vAlign w:val="center"/>
          </w:tcPr>
          <w:p w14:paraId="2AE7E323" w14:textId="77777777" w:rsidR="009B2780" w:rsidRDefault="009B2780">
            <w:pPr>
              <w:widowControl/>
              <w:snapToGrid w:val="0"/>
              <w:jc w:val="center"/>
              <w:rPr>
                <w:rFonts w:ascii="宋体" w:eastAsia="宋体" w:hAnsi="宋体" w:cs="宋体"/>
                <w:b/>
                <w:bCs/>
                <w:kern w:val="0"/>
                <w:szCs w:val="21"/>
              </w:rPr>
            </w:pPr>
            <w:r>
              <w:rPr>
                <w:rFonts w:ascii="宋体" w:eastAsia="宋体" w:hAnsi="宋体" w:cs="宋体"/>
                <w:b/>
                <w:bCs/>
                <w:kern w:val="0"/>
                <w:szCs w:val="21"/>
              </w:rPr>
              <w:t>3</w:t>
            </w:r>
          </w:p>
        </w:tc>
        <w:tc>
          <w:tcPr>
            <w:tcW w:w="709" w:type="dxa"/>
            <w:vMerge/>
            <w:shd w:val="clear" w:color="auto" w:fill="auto"/>
            <w:vAlign w:val="center"/>
          </w:tcPr>
          <w:p w14:paraId="1D0175B5" w14:textId="77777777" w:rsidR="009B2780" w:rsidRDefault="009B2780">
            <w:pPr>
              <w:widowControl/>
              <w:snapToGrid w:val="0"/>
              <w:jc w:val="center"/>
              <w:rPr>
                <w:rFonts w:ascii="宋体" w:eastAsia="宋体" w:hAnsi="宋体" w:cs="宋体"/>
                <w:b/>
                <w:bCs/>
                <w:kern w:val="0"/>
                <w:szCs w:val="21"/>
              </w:rPr>
            </w:pPr>
          </w:p>
        </w:tc>
        <w:tc>
          <w:tcPr>
            <w:tcW w:w="3970" w:type="dxa"/>
            <w:shd w:val="clear" w:color="auto" w:fill="auto"/>
            <w:vAlign w:val="center"/>
          </w:tcPr>
          <w:p w14:paraId="5C0D58E0" w14:textId="77777777" w:rsidR="009B2780" w:rsidRDefault="009B2780">
            <w:pPr>
              <w:snapToGrid w:val="0"/>
              <w:jc w:val="left"/>
              <w:rPr>
                <w:rFonts w:ascii="宋体" w:eastAsia="宋体" w:hAnsi="宋体" w:cs="宋体"/>
                <w:kern w:val="0"/>
                <w:szCs w:val="21"/>
              </w:rPr>
            </w:pPr>
            <w:r>
              <w:rPr>
                <w:rFonts w:ascii="宋体" w:eastAsia="宋体" w:hAnsi="宋体" w:cs="宋体" w:hint="eastAsia"/>
                <w:kern w:val="0"/>
                <w:szCs w:val="21"/>
              </w:rPr>
              <w:t>常住人口城镇化率（%）</w:t>
            </w:r>
          </w:p>
        </w:tc>
        <w:tc>
          <w:tcPr>
            <w:tcW w:w="993" w:type="dxa"/>
            <w:shd w:val="clear" w:color="auto" w:fill="auto"/>
            <w:vAlign w:val="center"/>
          </w:tcPr>
          <w:p w14:paraId="07176517"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4</w:t>
            </w:r>
            <w:r>
              <w:rPr>
                <w:rFonts w:ascii="宋体" w:eastAsia="宋体" w:hAnsi="宋体" w:cs="宋体"/>
                <w:kern w:val="0"/>
                <w:szCs w:val="21"/>
              </w:rPr>
              <w:t>7</w:t>
            </w:r>
          </w:p>
        </w:tc>
        <w:tc>
          <w:tcPr>
            <w:tcW w:w="990" w:type="dxa"/>
            <w:shd w:val="clear" w:color="auto" w:fill="auto"/>
            <w:vAlign w:val="center"/>
          </w:tcPr>
          <w:p w14:paraId="278DE36C" w14:textId="77777777" w:rsidR="009B2780" w:rsidRDefault="009B2780">
            <w:pPr>
              <w:widowControl/>
              <w:snapToGrid w:val="0"/>
              <w:jc w:val="center"/>
              <w:rPr>
                <w:rFonts w:ascii="宋体" w:eastAsia="宋体" w:hAnsi="宋体" w:cs="宋体"/>
                <w:kern w:val="0"/>
                <w:szCs w:val="21"/>
              </w:rPr>
            </w:pPr>
            <w:r>
              <w:rPr>
                <w:rFonts w:ascii="宋体" w:eastAsia="宋体" w:hAnsi="宋体" w:cs="宋体" w:hint="eastAsia"/>
                <w:kern w:val="0"/>
                <w:szCs w:val="21"/>
              </w:rPr>
              <w:t>62</w:t>
            </w:r>
          </w:p>
        </w:tc>
        <w:tc>
          <w:tcPr>
            <w:tcW w:w="828" w:type="dxa"/>
            <w:shd w:val="clear" w:color="auto" w:fill="auto"/>
            <w:vAlign w:val="center"/>
          </w:tcPr>
          <w:p w14:paraId="095A6554" w14:textId="77777777" w:rsidR="009B2780" w:rsidRDefault="009B2780">
            <w:pPr>
              <w:widowControl/>
              <w:snapToGrid w:val="0"/>
              <w:jc w:val="center"/>
              <w:rPr>
                <w:rFonts w:ascii="宋体" w:eastAsia="宋体" w:hAnsi="宋体" w:cs="宋体"/>
                <w:kern w:val="0"/>
                <w:szCs w:val="21"/>
              </w:rPr>
            </w:pPr>
            <w:r>
              <w:rPr>
                <w:rFonts w:ascii="宋体" w:eastAsia="宋体" w:hAnsi="宋体" w:cs="宋体"/>
                <w:kern w:val="0"/>
                <w:szCs w:val="21"/>
              </w:rPr>
              <w:t>/</w:t>
            </w:r>
          </w:p>
        </w:tc>
        <w:tc>
          <w:tcPr>
            <w:tcW w:w="895" w:type="dxa"/>
            <w:shd w:val="clear" w:color="auto" w:fill="auto"/>
            <w:vAlign w:val="center"/>
          </w:tcPr>
          <w:p w14:paraId="6BEDF8BE" w14:textId="77777777" w:rsidR="009B2780" w:rsidRDefault="009B2780">
            <w:pPr>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E65D8C" w14:paraId="10067C2E" w14:textId="77777777" w:rsidTr="00E65D8C">
        <w:trPr>
          <w:trHeight w:hRule="exact" w:val="567"/>
          <w:jc w:val="center"/>
        </w:trPr>
        <w:tc>
          <w:tcPr>
            <w:tcW w:w="647" w:type="dxa"/>
            <w:vAlign w:val="center"/>
          </w:tcPr>
          <w:p w14:paraId="133DBB96"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lastRenderedPageBreak/>
              <w:t>4</w:t>
            </w:r>
          </w:p>
        </w:tc>
        <w:tc>
          <w:tcPr>
            <w:tcW w:w="709" w:type="dxa"/>
            <w:vMerge w:val="restart"/>
            <w:shd w:val="clear" w:color="auto" w:fill="auto"/>
            <w:vAlign w:val="center"/>
          </w:tcPr>
          <w:p w14:paraId="42522C7A"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创新驱动</w:t>
            </w:r>
          </w:p>
        </w:tc>
        <w:tc>
          <w:tcPr>
            <w:tcW w:w="3970" w:type="dxa"/>
            <w:shd w:val="clear" w:color="auto" w:fill="auto"/>
            <w:vAlign w:val="center"/>
          </w:tcPr>
          <w:p w14:paraId="65812CFE" w14:textId="77777777" w:rsidR="00E65D8C" w:rsidRDefault="00E65D8C" w:rsidP="00E65D8C">
            <w:pPr>
              <w:widowControl/>
              <w:spacing w:line="0" w:lineRule="atLeast"/>
              <w:textAlignment w:val="center"/>
              <w:rPr>
                <w:rFonts w:ascii="宋体" w:eastAsia="宋体" w:hAnsi="宋体" w:cs="宋体"/>
                <w:kern w:val="0"/>
                <w:szCs w:val="21"/>
              </w:rPr>
            </w:pPr>
            <w:r>
              <w:rPr>
                <w:rFonts w:ascii="宋体" w:eastAsia="宋体" w:hAnsi="宋体" w:cs="宋体"/>
                <w:kern w:val="0"/>
                <w:szCs w:val="21"/>
              </w:rPr>
              <w:t>研发经费投入</w:t>
            </w:r>
            <w:r>
              <w:rPr>
                <w:rFonts w:ascii="宋体" w:eastAsia="宋体" w:hAnsi="宋体" w:cs="宋体" w:hint="eastAsia"/>
                <w:kern w:val="0"/>
                <w:szCs w:val="21"/>
              </w:rPr>
              <w:t>增长（%）</w:t>
            </w:r>
          </w:p>
        </w:tc>
        <w:tc>
          <w:tcPr>
            <w:tcW w:w="993" w:type="dxa"/>
            <w:shd w:val="clear" w:color="auto" w:fill="auto"/>
            <w:vAlign w:val="center"/>
          </w:tcPr>
          <w:p w14:paraId="27A802F6"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990" w:type="dxa"/>
            <w:shd w:val="clear" w:color="auto" w:fill="auto"/>
            <w:vAlign w:val="center"/>
          </w:tcPr>
          <w:p w14:paraId="7386666A"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828" w:type="dxa"/>
            <w:shd w:val="clear" w:color="auto" w:fill="auto"/>
            <w:vAlign w:val="center"/>
          </w:tcPr>
          <w:p w14:paraId="0613E28D"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kern w:val="0"/>
                <w:szCs w:val="21"/>
              </w:rPr>
              <w:t>10</w:t>
            </w:r>
          </w:p>
        </w:tc>
        <w:tc>
          <w:tcPr>
            <w:tcW w:w="895" w:type="dxa"/>
            <w:shd w:val="clear" w:color="auto" w:fill="auto"/>
            <w:vAlign w:val="center"/>
          </w:tcPr>
          <w:p w14:paraId="43E70062" w14:textId="77777777" w:rsidR="00E65D8C" w:rsidRDefault="00E65D8C" w:rsidP="00E65D8C">
            <w:pPr>
              <w:jc w:val="center"/>
            </w:pPr>
            <w:r>
              <w:rPr>
                <w:rFonts w:ascii="宋体" w:eastAsia="宋体" w:hAnsi="宋体" w:cs="宋体" w:hint="eastAsia"/>
                <w:kern w:val="0"/>
                <w:szCs w:val="21"/>
              </w:rPr>
              <w:t>预期性</w:t>
            </w:r>
          </w:p>
        </w:tc>
      </w:tr>
      <w:tr w:rsidR="00E65D8C" w14:paraId="252CAA47" w14:textId="77777777" w:rsidTr="00E65D8C">
        <w:trPr>
          <w:trHeight w:hRule="exact" w:val="567"/>
          <w:jc w:val="center"/>
        </w:trPr>
        <w:tc>
          <w:tcPr>
            <w:tcW w:w="647" w:type="dxa"/>
            <w:vAlign w:val="center"/>
          </w:tcPr>
          <w:p w14:paraId="63D6BC9D"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5</w:t>
            </w:r>
          </w:p>
        </w:tc>
        <w:tc>
          <w:tcPr>
            <w:tcW w:w="709" w:type="dxa"/>
            <w:vMerge/>
            <w:shd w:val="clear" w:color="auto" w:fill="auto"/>
            <w:vAlign w:val="center"/>
          </w:tcPr>
          <w:p w14:paraId="400EACF3"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0E0DBEEC" w14:textId="77777777" w:rsidR="00E65D8C" w:rsidRDefault="00E65D8C" w:rsidP="00E65D8C">
            <w:pPr>
              <w:widowControl/>
              <w:spacing w:line="0" w:lineRule="atLeast"/>
              <w:textAlignment w:val="center"/>
              <w:rPr>
                <w:rFonts w:ascii="宋体" w:eastAsia="宋体" w:hAnsi="宋体" w:cs="宋体"/>
                <w:kern w:val="0"/>
                <w:szCs w:val="21"/>
              </w:rPr>
            </w:pPr>
            <w:r>
              <w:rPr>
                <w:rFonts w:ascii="宋体" w:eastAsia="宋体" w:hAnsi="宋体" w:cs="宋体"/>
                <w:kern w:val="0"/>
                <w:szCs w:val="21"/>
              </w:rPr>
              <w:t>每万人口高价值发明专利</w:t>
            </w:r>
            <w:r>
              <w:rPr>
                <w:rFonts w:ascii="宋体" w:eastAsia="宋体" w:hAnsi="宋体" w:cs="宋体" w:hint="eastAsia"/>
                <w:kern w:val="0"/>
                <w:szCs w:val="21"/>
              </w:rPr>
              <w:t>拥有量（件）</w:t>
            </w:r>
          </w:p>
        </w:tc>
        <w:tc>
          <w:tcPr>
            <w:tcW w:w="993" w:type="dxa"/>
            <w:shd w:val="clear" w:color="auto" w:fill="auto"/>
            <w:vAlign w:val="center"/>
          </w:tcPr>
          <w:p w14:paraId="406212A4"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0</w:t>
            </w:r>
            <w:r>
              <w:rPr>
                <w:rFonts w:ascii="宋体" w:eastAsia="宋体" w:hAnsi="宋体" w:cs="宋体"/>
                <w:kern w:val="0"/>
                <w:szCs w:val="21"/>
              </w:rPr>
              <w:t>.8</w:t>
            </w:r>
          </w:p>
        </w:tc>
        <w:tc>
          <w:tcPr>
            <w:tcW w:w="990" w:type="dxa"/>
            <w:shd w:val="clear" w:color="auto" w:fill="auto"/>
            <w:vAlign w:val="center"/>
          </w:tcPr>
          <w:p w14:paraId="0D71EC2E"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.6</w:t>
            </w:r>
          </w:p>
        </w:tc>
        <w:tc>
          <w:tcPr>
            <w:tcW w:w="828" w:type="dxa"/>
            <w:shd w:val="clear" w:color="auto" w:fill="auto"/>
            <w:vAlign w:val="center"/>
          </w:tcPr>
          <w:p w14:paraId="667E68F1"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895" w:type="dxa"/>
            <w:shd w:val="clear" w:color="auto" w:fill="auto"/>
            <w:vAlign w:val="center"/>
          </w:tcPr>
          <w:p w14:paraId="1A8CC34A" w14:textId="77777777" w:rsidR="00E65D8C" w:rsidRDefault="00E65D8C" w:rsidP="00E65D8C">
            <w:pPr>
              <w:jc w:val="center"/>
            </w:pPr>
            <w:r>
              <w:rPr>
                <w:rFonts w:ascii="宋体" w:eastAsia="宋体" w:hAnsi="宋体" w:cs="宋体" w:hint="eastAsia"/>
                <w:kern w:val="0"/>
                <w:szCs w:val="21"/>
              </w:rPr>
              <w:t>预期性</w:t>
            </w:r>
          </w:p>
        </w:tc>
      </w:tr>
      <w:tr w:rsidR="00E65D8C" w14:paraId="6A9A5C60" w14:textId="77777777" w:rsidTr="00E65D8C">
        <w:trPr>
          <w:trHeight w:hRule="exact" w:val="567"/>
          <w:jc w:val="center"/>
        </w:trPr>
        <w:tc>
          <w:tcPr>
            <w:tcW w:w="647" w:type="dxa"/>
            <w:vAlign w:val="center"/>
          </w:tcPr>
          <w:p w14:paraId="3D8D28B4"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6</w:t>
            </w:r>
          </w:p>
        </w:tc>
        <w:tc>
          <w:tcPr>
            <w:tcW w:w="709" w:type="dxa"/>
            <w:vMerge/>
            <w:shd w:val="clear" w:color="auto" w:fill="auto"/>
            <w:vAlign w:val="center"/>
          </w:tcPr>
          <w:p w14:paraId="6B5F6318"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45698A87" w14:textId="77777777" w:rsidR="00E65D8C" w:rsidRDefault="00E65D8C" w:rsidP="00E65D8C">
            <w:pPr>
              <w:widowControl/>
              <w:spacing w:line="0" w:lineRule="atLeast"/>
              <w:textAlignment w:val="center"/>
              <w:rPr>
                <w:rFonts w:ascii="宋体" w:eastAsia="宋体" w:hAnsi="宋体" w:cs="宋体"/>
                <w:kern w:val="0"/>
                <w:szCs w:val="21"/>
              </w:rPr>
            </w:pPr>
            <w:r>
              <w:rPr>
                <w:rFonts w:ascii="宋体" w:eastAsia="宋体" w:hAnsi="宋体" w:cs="宋体"/>
                <w:kern w:val="0"/>
                <w:szCs w:val="21"/>
              </w:rPr>
              <w:t>数字经济</w:t>
            </w:r>
            <w:r>
              <w:rPr>
                <w:rFonts w:ascii="宋体" w:eastAsia="宋体" w:hAnsi="宋体" w:cs="宋体" w:hint="eastAsia"/>
                <w:kern w:val="0"/>
                <w:szCs w:val="21"/>
              </w:rPr>
              <w:t>核心产业</w:t>
            </w:r>
            <w:r>
              <w:rPr>
                <w:rFonts w:ascii="宋体" w:eastAsia="宋体" w:hAnsi="宋体" w:cs="宋体"/>
                <w:kern w:val="0"/>
                <w:szCs w:val="21"/>
              </w:rPr>
              <w:t>增加值占GDP比例</w:t>
            </w:r>
            <w:r>
              <w:rPr>
                <w:rFonts w:ascii="宋体" w:eastAsia="宋体" w:hAnsi="宋体" w:cs="宋体" w:hint="eastAsia"/>
                <w:kern w:val="0"/>
                <w:szCs w:val="21"/>
              </w:rPr>
              <w:t>（%）</w:t>
            </w:r>
          </w:p>
        </w:tc>
        <w:tc>
          <w:tcPr>
            <w:tcW w:w="993" w:type="dxa"/>
            <w:shd w:val="clear" w:color="auto" w:fill="auto"/>
            <w:vAlign w:val="center"/>
          </w:tcPr>
          <w:p w14:paraId="7CF42BCA"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0</w:t>
            </w:r>
            <w:r>
              <w:rPr>
                <w:rFonts w:ascii="宋体" w:eastAsia="宋体" w:hAnsi="宋体" w:cs="宋体"/>
                <w:kern w:val="0"/>
                <w:szCs w:val="21"/>
              </w:rPr>
              <w:t>.1</w:t>
            </w:r>
          </w:p>
        </w:tc>
        <w:tc>
          <w:tcPr>
            <w:tcW w:w="990" w:type="dxa"/>
            <w:shd w:val="clear" w:color="auto" w:fill="auto"/>
            <w:vAlign w:val="center"/>
          </w:tcPr>
          <w:p w14:paraId="3E40E0EA"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kern w:val="0"/>
                <w:szCs w:val="21"/>
              </w:rPr>
              <w:t>1.1</w:t>
            </w:r>
          </w:p>
        </w:tc>
        <w:tc>
          <w:tcPr>
            <w:tcW w:w="828" w:type="dxa"/>
            <w:shd w:val="clear" w:color="auto" w:fill="auto"/>
            <w:vAlign w:val="center"/>
          </w:tcPr>
          <w:p w14:paraId="5A0146A6"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895" w:type="dxa"/>
            <w:shd w:val="clear" w:color="auto" w:fill="auto"/>
            <w:vAlign w:val="center"/>
          </w:tcPr>
          <w:p w14:paraId="7E003FBE" w14:textId="77777777" w:rsidR="00E65D8C" w:rsidRDefault="00E65D8C" w:rsidP="00E65D8C">
            <w:pPr>
              <w:jc w:val="center"/>
            </w:pPr>
            <w:r>
              <w:rPr>
                <w:rFonts w:ascii="宋体" w:eastAsia="宋体" w:hAnsi="宋体" w:cs="宋体" w:hint="eastAsia"/>
                <w:kern w:val="0"/>
                <w:szCs w:val="21"/>
              </w:rPr>
              <w:t>预期性</w:t>
            </w:r>
          </w:p>
        </w:tc>
      </w:tr>
      <w:tr w:rsidR="00E65D8C" w14:paraId="48E32D6B" w14:textId="77777777" w:rsidTr="00E65D8C">
        <w:trPr>
          <w:trHeight w:hRule="exact" w:val="567"/>
          <w:jc w:val="center"/>
        </w:trPr>
        <w:tc>
          <w:tcPr>
            <w:tcW w:w="647" w:type="dxa"/>
            <w:vAlign w:val="center"/>
          </w:tcPr>
          <w:p w14:paraId="3ED6AE8F"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7</w:t>
            </w:r>
          </w:p>
        </w:tc>
        <w:tc>
          <w:tcPr>
            <w:tcW w:w="709" w:type="dxa"/>
            <w:vMerge w:val="restart"/>
            <w:shd w:val="clear" w:color="auto" w:fill="auto"/>
            <w:noWrap/>
            <w:vAlign w:val="center"/>
          </w:tcPr>
          <w:p w14:paraId="4CF37C10"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t>民生福祉</w:t>
            </w:r>
          </w:p>
        </w:tc>
        <w:tc>
          <w:tcPr>
            <w:tcW w:w="3970" w:type="dxa"/>
            <w:shd w:val="clear" w:color="auto" w:fill="auto"/>
            <w:vAlign w:val="center"/>
          </w:tcPr>
          <w:p w14:paraId="33EB6308"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城镇居民人均可支配收入（元）</w:t>
            </w:r>
          </w:p>
        </w:tc>
        <w:tc>
          <w:tcPr>
            <w:tcW w:w="993" w:type="dxa"/>
            <w:shd w:val="clear" w:color="auto" w:fill="auto"/>
            <w:vAlign w:val="center"/>
          </w:tcPr>
          <w:p w14:paraId="6842EEFD"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3</w:t>
            </w:r>
            <w:r>
              <w:rPr>
                <w:rFonts w:ascii="宋体" w:eastAsia="宋体" w:hAnsi="宋体" w:cs="宋体"/>
                <w:kern w:val="0"/>
                <w:szCs w:val="21"/>
              </w:rPr>
              <w:t>0879</w:t>
            </w:r>
          </w:p>
        </w:tc>
        <w:tc>
          <w:tcPr>
            <w:tcW w:w="990" w:type="dxa"/>
            <w:shd w:val="clear" w:color="auto" w:fill="auto"/>
            <w:vAlign w:val="center"/>
          </w:tcPr>
          <w:p w14:paraId="6AD74BE1"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3</w:t>
            </w:r>
            <w:r>
              <w:rPr>
                <w:rFonts w:ascii="宋体" w:eastAsia="宋体" w:hAnsi="宋体" w:cs="宋体"/>
                <w:kern w:val="0"/>
                <w:szCs w:val="21"/>
              </w:rPr>
              <w:t>5797</w:t>
            </w:r>
          </w:p>
        </w:tc>
        <w:tc>
          <w:tcPr>
            <w:tcW w:w="828" w:type="dxa"/>
            <w:shd w:val="clear" w:color="auto" w:fill="auto"/>
            <w:vAlign w:val="center"/>
          </w:tcPr>
          <w:p w14:paraId="6086ED20"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895" w:type="dxa"/>
            <w:shd w:val="clear" w:color="auto" w:fill="auto"/>
            <w:vAlign w:val="center"/>
          </w:tcPr>
          <w:p w14:paraId="3343BE2A" w14:textId="77777777" w:rsidR="00E65D8C" w:rsidRDefault="00E65D8C" w:rsidP="00E65D8C">
            <w:pPr>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E65D8C" w14:paraId="6736CAE1" w14:textId="77777777" w:rsidTr="00E65D8C">
        <w:trPr>
          <w:trHeight w:hRule="exact" w:val="567"/>
          <w:jc w:val="center"/>
        </w:trPr>
        <w:tc>
          <w:tcPr>
            <w:tcW w:w="647" w:type="dxa"/>
            <w:vAlign w:val="center"/>
          </w:tcPr>
          <w:p w14:paraId="4E524BBF"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8</w:t>
            </w:r>
          </w:p>
        </w:tc>
        <w:tc>
          <w:tcPr>
            <w:tcW w:w="709" w:type="dxa"/>
            <w:vMerge/>
            <w:shd w:val="clear" w:color="auto" w:fill="auto"/>
            <w:vAlign w:val="center"/>
          </w:tcPr>
          <w:p w14:paraId="4630AB1D"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54215160"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农村居民人均可支配收入（元）</w:t>
            </w:r>
          </w:p>
        </w:tc>
        <w:tc>
          <w:tcPr>
            <w:tcW w:w="993" w:type="dxa"/>
            <w:shd w:val="clear" w:color="auto" w:fill="auto"/>
            <w:vAlign w:val="center"/>
          </w:tcPr>
          <w:p w14:paraId="1D3BA18D"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6409</w:t>
            </w:r>
          </w:p>
        </w:tc>
        <w:tc>
          <w:tcPr>
            <w:tcW w:w="990" w:type="dxa"/>
            <w:shd w:val="clear" w:color="auto" w:fill="auto"/>
            <w:vAlign w:val="center"/>
          </w:tcPr>
          <w:p w14:paraId="13B15140"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2</w:t>
            </w:r>
            <w:r>
              <w:rPr>
                <w:rFonts w:ascii="宋体" w:eastAsia="宋体" w:hAnsi="宋体" w:cs="宋体"/>
                <w:kern w:val="0"/>
                <w:szCs w:val="21"/>
              </w:rPr>
              <w:t>1959</w:t>
            </w:r>
          </w:p>
        </w:tc>
        <w:tc>
          <w:tcPr>
            <w:tcW w:w="828" w:type="dxa"/>
            <w:shd w:val="clear" w:color="auto" w:fill="auto"/>
            <w:vAlign w:val="center"/>
          </w:tcPr>
          <w:p w14:paraId="1486D27A"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895" w:type="dxa"/>
            <w:shd w:val="clear" w:color="auto" w:fill="auto"/>
            <w:vAlign w:val="center"/>
          </w:tcPr>
          <w:p w14:paraId="13455E13"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E65D8C" w14:paraId="4D9E9D14" w14:textId="77777777" w:rsidTr="00E65D8C">
        <w:trPr>
          <w:trHeight w:hRule="exact" w:val="567"/>
          <w:jc w:val="center"/>
        </w:trPr>
        <w:tc>
          <w:tcPr>
            <w:tcW w:w="647" w:type="dxa"/>
            <w:vAlign w:val="center"/>
          </w:tcPr>
          <w:p w14:paraId="3C11FA9F"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9</w:t>
            </w:r>
          </w:p>
        </w:tc>
        <w:tc>
          <w:tcPr>
            <w:tcW w:w="709" w:type="dxa"/>
            <w:vMerge/>
            <w:shd w:val="clear" w:color="auto" w:fill="auto"/>
            <w:vAlign w:val="center"/>
          </w:tcPr>
          <w:p w14:paraId="18C87A49"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5E07F1CC"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城镇登记失业率（%）</w:t>
            </w:r>
          </w:p>
        </w:tc>
        <w:tc>
          <w:tcPr>
            <w:tcW w:w="993" w:type="dxa"/>
            <w:shd w:val="clear" w:color="auto" w:fill="auto"/>
            <w:vAlign w:val="center"/>
          </w:tcPr>
          <w:p w14:paraId="71D4108C" w14:textId="77777777" w:rsidR="00E65D8C" w:rsidRDefault="00E65D8C" w:rsidP="00E65D8C">
            <w:pPr>
              <w:widowControl/>
              <w:snapToGrid w:val="0"/>
              <w:jc w:val="center"/>
              <w:rPr>
                <w:rFonts w:ascii="宋体" w:eastAsia="宋体" w:hAnsi="宋体" w:cs="宋体"/>
                <w:kern w:val="0"/>
                <w:szCs w:val="21"/>
              </w:rPr>
            </w:pPr>
            <w:r w:rsidRPr="00C95711">
              <w:rPr>
                <w:rFonts w:hint="eastAsia"/>
              </w:rPr>
              <w:t>—</w:t>
            </w:r>
          </w:p>
        </w:tc>
        <w:tc>
          <w:tcPr>
            <w:tcW w:w="990" w:type="dxa"/>
            <w:shd w:val="clear" w:color="auto" w:fill="auto"/>
            <w:vAlign w:val="center"/>
          </w:tcPr>
          <w:p w14:paraId="6F8BCB35"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kern w:val="0"/>
                <w:szCs w:val="21"/>
              </w:rPr>
              <w:t>4.5</w:t>
            </w:r>
          </w:p>
        </w:tc>
        <w:tc>
          <w:tcPr>
            <w:tcW w:w="828" w:type="dxa"/>
            <w:shd w:val="clear" w:color="auto" w:fill="auto"/>
            <w:vAlign w:val="center"/>
          </w:tcPr>
          <w:p w14:paraId="60FFB64D" w14:textId="77777777" w:rsidR="00E65D8C" w:rsidRDefault="00E65D8C" w:rsidP="00E65D8C">
            <w:pPr>
              <w:widowControl/>
              <w:snapToGrid w:val="0"/>
              <w:jc w:val="center"/>
              <w:rPr>
                <w:rFonts w:ascii="宋体" w:eastAsia="宋体" w:hAnsi="宋体" w:cs="宋体"/>
                <w:kern w:val="0"/>
                <w:szCs w:val="21"/>
              </w:rPr>
            </w:pPr>
            <w:r w:rsidRPr="002F0AB5">
              <w:rPr>
                <w:rFonts w:hint="eastAsia"/>
              </w:rPr>
              <w:t>—</w:t>
            </w:r>
          </w:p>
        </w:tc>
        <w:tc>
          <w:tcPr>
            <w:tcW w:w="895" w:type="dxa"/>
            <w:shd w:val="clear" w:color="auto" w:fill="auto"/>
            <w:vAlign w:val="center"/>
          </w:tcPr>
          <w:p w14:paraId="4D01802A"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约束性</w:t>
            </w:r>
          </w:p>
        </w:tc>
      </w:tr>
      <w:tr w:rsidR="00E65D8C" w14:paraId="5E9B7C26" w14:textId="77777777" w:rsidTr="00E65D8C">
        <w:trPr>
          <w:trHeight w:hRule="exact" w:val="567"/>
          <w:jc w:val="center"/>
        </w:trPr>
        <w:tc>
          <w:tcPr>
            <w:tcW w:w="647" w:type="dxa"/>
            <w:vAlign w:val="center"/>
          </w:tcPr>
          <w:p w14:paraId="58FCEF97"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t>1</w:t>
            </w:r>
            <w:r>
              <w:rPr>
                <w:rFonts w:ascii="宋体" w:eastAsia="宋体" w:hAnsi="宋体" w:cs="宋体"/>
                <w:b/>
                <w:bCs/>
                <w:kern w:val="0"/>
                <w:szCs w:val="21"/>
              </w:rPr>
              <w:t>0</w:t>
            </w:r>
          </w:p>
        </w:tc>
        <w:tc>
          <w:tcPr>
            <w:tcW w:w="709" w:type="dxa"/>
            <w:vMerge/>
            <w:shd w:val="clear" w:color="auto" w:fill="auto"/>
            <w:vAlign w:val="center"/>
          </w:tcPr>
          <w:p w14:paraId="7A806033"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29F77765"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每千人拥有执业（助理）医师数（人）</w:t>
            </w:r>
          </w:p>
        </w:tc>
        <w:tc>
          <w:tcPr>
            <w:tcW w:w="993" w:type="dxa"/>
            <w:shd w:val="clear" w:color="auto" w:fill="auto"/>
            <w:vAlign w:val="center"/>
          </w:tcPr>
          <w:p w14:paraId="15AC22B4" w14:textId="77777777" w:rsidR="00E65D8C" w:rsidRDefault="00E65D8C" w:rsidP="00E65D8C">
            <w:pPr>
              <w:jc w:val="center"/>
              <w:rPr>
                <w:rFonts w:ascii="宋体" w:eastAsia="宋体" w:hAnsi="宋体" w:cs="宋体"/>
                <w:kern w:val="0"/>
                <w:szCs w:val="21"/>
              </w:rPr>
            </w:pPr>
            <w:r>
              <w:rPr>
                <w:rFonts w:ascii="宋体" w:eastAsia="宋体" w:hAnsi="宋体" w:cs="宋体" w:hint="eastAsia"/>
                <w:kern w:val="0"/>
                <w:szCs w:val="21"/>
              </w:rPr>
              <w:t>2</w:t>
            </w:r>
            <w:r>
              <w:rPr>
                <w:rFonts w:ascii="宋体" w:eastAsia="宋体" w:hAnsi="宋体" w:cs="宋体"/>
                <w:kern w:val="0"/>
                <w:szCs w:val="21"/>
              </w:rPr>
              <w:t>.6</w:t>
            </w:r>
          </w:p>
        </w:tc>
        <w:tc>
          <w:tcPr>
            <w:tcW w:w="990" w:type="dxa"/>
            <w:shd w:val="clear" w:color="auto" w:fill="auto"/>
            <w:vAlign w:val="center"/>
          </w:tcPr>
          <w:p w14:paraId="07BC1209"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2</w:t>
            </w:r>
            <w:r>
              <w:rPr>
                <w:rFonts w:ascii="宋体" w:eastAsia="宋体" w:hAnsi="宋体" w:cs="宋体"/>
                <w:kern w:val="0"/>
                <w:szCs w:val="21"/>
              </w:rPr>
              <w:t>.8</w:t>
            </w:r>
          </w:p>
        </w:tc>
        <w:tc>
          <w:tcPr>
            <w:tcW w:w="828" w:type="dxa"/>
            <w:shd w:val="clear" w:color="auto" w:fill="auto"/>
            <w:vAlign w:val="center"/>
          </w:tcPr>
          <w:p w14:paraId="550C910D" w14:textId="77777777" w:rsidR="00E65D8C" w:rsidRDefault="00E65D8C" w:rsidP="00E65D8C">
            <w:pPr>
              <w:widowControl/>
              <w:snapToGrid w:val="0"/>
              <w:jc w:val="center"/>
              <w:rPr>
                <w:rFonts w:ascii="宋体" w:eastAsia="宋体" w:hAnsi="宋体" w:cs="宋体"/>
                <w:kern w:val="0"/>
                <w:szCs w:val="21"/>
              </w:rPr>
            </w:pPr>
            <w:r w:rsidRPr="002F0AB5">
              <w:rPr>
                <w:rFonts w:hint="eastAsia"/>
              </w:rPr>
              <w:t>—</w:t>
            </w:r>
          </w:p>
        </w:tc>
        <w:tc>
          <w:tcPr>
            <w:tcW w:w="895" w:type="dxa"/>
            <w:shd w:val="clear" w:color="auto" w:fill="auto"/>
            <w:vAlign w:val="center"/>
          </w:tcPr>
          <w:p w14:paraId="5E2578E3" w14:textId="77777777" w:rsidR="00E65D8C" w:rsidRDefault="00E65D8C" w:rsidP="00E65D8C">
            <w:pPr>
              <w:jc w:val="center"/>
            </w:pPr>
            <w:r>
              <w:rPr>
                <w:rFonts w:ascii="宋体" w:eastAsia="宋体" w:hAnsi="宋体" w:cs="宋体" w:hint="eastAsia"/>
                <w:kern w:val="0"/>
                <w:szCs w:val="21"/>
              </w:rPr>
              <w:t>预期性</w:t>
            </w:r>
          </w:p>
        </w:tc>
      </w:tr>
      <w:tr w:rsidR="00E65D8C" w14:paraId="190DFFB6" w14:textId="77777777" w:rsidTr="00E65D8C">
        <w:trPr>
          <w:trHeight w:hRule="exact" w:val="567"/>
          <w:jc w:val="center"/>
        </w:trPr>
        <w:tc>
          <w:tcPr>
            <w:tcW w:w="647" w:type="dxa"/>
            <w:vAlign w:val="center"/>
          </w:tcPr>
          <w:p w14:paraId="0DF695EC"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t>1</w:t>
            </w:r>
            <w:r>
              <w:rPr>
                <w:rFonts w:ascii="宋体" w:eastAsia="宋体" w:hAnsi="宋体" w:cs="宋体"/>
                <w:b/>
                <w:bCs/>
                <w:kern w:val="0"/>
                <w:szCs w:val="21"/>
              </w:rPr>
              <w:t>1</w:t>
            </w:r>
          </w:p>
        </w:tc>
        <w:tc>
          <w:tcPr>
            <w:tcW w:w="709" w:type="dxa"/>
            <w:vMerge/>
            <w:shd w:val="clear" w:color="auto" w:fill="auto"/>
            <w:vAlign w:val="center"/>
          </w:tcPr>
          <w:p w14:paraId="47E24996"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4F2DEAF0"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每千人拥有三岁以下婴幼儿托位数（个）</w:t>
            </w:r>
          </w:p>
        </w:tc>
        <w:tc>
          <w:tcPr>
            <w:tcW w:w="993" w:type="dxa"/>
            <w:shd w:val="clear" w:color="auto" w:fill="auto"/>
            <w:vAlign w:val="center"/>
          </w:tcPr>
          <w:p w14:paraId="2F9AE529" w14:textId="77777777" w:rsidR="00E65D8C" w:rsidRDefault="00E65D8C" w:rsidP="00E65D8C">
            <w:pPr>
              <w:jc w:val="center"/>
              <w:rPr>
                <w:rFonts w:ascii="宋体" w:eastAsia="宋体" w:hAnsi="宋体" w:cs="宋体"/>
                <w:kern w:val="0"/>
                <w:szCs w:val="21"/>
              </w:rPr>
            </w:pPr>
            <w:r>
              <w:rPr>
                <w:rFonts w:ascii="宋体" w:eastAsia="宋体" w:hAnsi="宋体" w:cs="宋体" w:hint="eastAsia"/>
                <w:kern w:val="0"/>
                <w:szCs w:val="21"/>
              </w:rPr>
              <w:t>0</w:t>
            </w:r>
            <w:r>
              <w:rPr>
                <w:rFonts w:ascii="宋体" w:eastAsia="宋体" w:hAnsi="宋体" w:cs="宋体"/>
                <w:kern w:val="0"/>
                <w:szCs w:val="21"/>
              </w:rPr>
              <w:t>.075</w:t>
            </w:r>
          </w:p>
        </w:tc>
        <w:tc>
          <w:tcPr>
            <w:tcW w:w="990" w:type="dxa"/>
            <w:shd w:val="clear" w:color="auto" w:fill="auto"/>
            <w:vAlign w:val="center"/>
          </w:tcPr>
          <w:p w14:paraId="645625EB"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kern w:val="0"/>
                <w:szCs w:val="21"/>
              </w:rPr>
              <w:t>0.825</w:t>
            </w:r>
          </w:p>
        </w:tc>
        <w:tc>
          <w:tcPr>
            <w:tcW w:w="828" w:type="dxa"/>
            <w:shd w:val="clear" w:color="auto" w:fill="auto"/>
            <w:vAlign w:val="center"/>
          </w:tcPr>
          <w:p w14:paraId="57F981E9" w14:textId="77777777" w:rsidR="00E65D8C" w:rsidRDefault="00E65D8C" w:rsidP="00E65D8C">
            <w:pPr>
              <w:widowControl/>
              <w:snapToGrid w:val="0"/>
              <w:jc w:val="center"/>
              <w:rPr>
                <w:rFonts w:ascii="宋体" w:eastAsia="宋体" w:hAnsi="宋体" w:cs="宋体"/>
                <w:kern w:val="0"/>
                <w:szCs w:val="21"/>
              </w:rPr>
            </w:pPr>
            <w:r w:rsidRPr="002F0AB5">
              <w:rPr>
                <w:rFonts w:hint="eastAsia"/>
              </w:rPr>
              <w:t>—</w:t>
            </w:r>
          </w:p>
        </w:tc>
        <w:tc>
          <w:tcPr>
            <w:tcW w:w="895" w:type="dxa"/>
            <w:shd w:val="clear" w:color="auto" w:fill="auto"/>
            <w:vAlign w:val="center"/>
          </w:tcPr>
          <w:p w14:paraId="19F9A3CF" w14:textId="77777777" w:rsidR="00E65D8C" w:rsidRDefault="00E65D8C" w:rsidP="00E65D8C">
            <w:pPr>
              <w:jc w:val="center"/>
            </w:pPr>
            <w:r>
              <w:rPr>
                <w:rFonts w:ascii="宋体" w:eastAsia="宋体" w:hAnsi="宋体" w:cs="宋体" w:hint="eastAsia"/>
                <w:kern w:val="0"/>
                <w:szCs w:val="21"/>
              </w:rPr>
              <w:t>预期性</w:t>
            </w:r>
          </w:p>
        </w:tc>
      </w:tr>
      <w:tr w:rsidR="00E65D8C" w14:paraId="15D590F7" w14:textId="77777777" w:rsidTr="00E65D8C">
        <w:trPr>
          <w:trHeight w:hRule="exact" w:val="567"/>
          <w:jc w:val="center"/>
        </w:trPr>
        <w:tc>
          <w:tcPr>
            <w:tcW w:w="647" w:type="dxa"/>
            <w:vAlign w:val="center"/>
          </w:tcPr>
          <w:p w14:paraId="4917B5D8"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hint="eastAsia"/>
                <w:b/>
                <w:bCs/>
                <w:kern w:val="0"/>
                <w:szCs w:val="21"/>
              </w:rPr>
              <w:t>1</w:t>
            </w:r>
            <w:r>
              <w:rPr>
                <w:rFonts w:ascii="宋体" w:eastAsia="宋体" w:hAnsi="宋体" w:cs="宋体"/>
                <w:b/>
                <w:bCs/>
                <w:kern w:val="0"/>
                <w:szCs w:val="21"/>
              </w:rPr>
              <w:t>2</w:t>
            </w:r>
          </w:p>
        </w:tc>
        <w:tc>
          <w:tcPr>
            <w:tcW w:w="709" w:type="dxa"/>
            <w:vMerge/>
            <w:shd w:val="clear" w:color="auto" w:fill="auto"/>
            <w:vAlign w:val="center"/>
          </w:tcPr>
          <w:p w14:paraId="2DA7F94F" w14:textId="77777777" w:rsidR="00E65D8C"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20141D60"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城乡居民基本养老保险参保率（%）</w:t>
            </w:r>
          </w:p>
        </w:tc>
        <w:tc>
          <w:tcPr>
            <w:tcW w:w="993" w:type="dxa"/>
            <w:shd w:val="clear" w:color="auto" w:fill="auto"/>
            <w:vAlign w:val="center"/>
          </w:tcPr>
          <w:p w14:paraId="3EB79EE7"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38.5</w:t>
            </w:r>
          </w:p>
        </w:tc>
        <w:tc>
          <w:tcPr>
            <w:tcW w:w="990" w:type="dxa"/>
            <w:shd w:val="clear" w:color="auto" w:fill="auto"/>
            <w:vAlign w:val="center"/>
          </w:tcPr>
          <w:p w14:paraId="2557D225"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42</w:t>
            </w:r>
          </w:p>
        </w:tc>
        <w:tc>
          <w:tcPr>
            <w:tcW w:w="828" w:type="dxa"/>
            <w:shd w:val="clear" w:color="auto" w:fill="auto"/>
            <w:vAlign w:val="center"/>
          </w:tcPr>
          <w:p w14:paraId="3525A132" w14:textId="77777777" w:rsidR="00E65D8C" w:rsidRDefault="00E65D8C" w:rsidP="00E65D8C">
            <w:pPr>
              <w:widowControl/>
              <w:snapToGrid w:val="0"/>
              <w:jc w:val="center"/>
              <w:rPr>
                <w:rFonts w:ascii="宋体" w:eastAsia="宋体" w:hAnsi="宋体" w:cs="宋体"/>
                <w:kern w:val="0"/>
                <w:szCs w:val="21"/>
              </w:rPr>
            </w:pPr>
            <w:r w:rsidRPr="002F0AB5">
              <w:rPr>
                <w:rFonts w:hint="eastAsia"/>
              </w:rPr>
              <w:t>—</w:t>
            </w:r>
          </w:p>
        </w:tc>
        <w:tc>
          <w:tcPr>
            <w:tcW w:w="895" w:type="dxa"/>
            <w:shd w:val="clear" w:color="auto" w:fill="auto"/>
            <w:vAlign w:val="center"/>
          </w:tcPr>
          <w:p w14:paraId="7FA5C723"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E65D8C" w:rsidRPr="001740D9" w14:paraId="012C778C" w14:textId="77777777" w:rsidTr="00E65D8C">
        <w:trPr>
          <w:trHeight w:hRule="exact" w:val="567"/>
          <w:jc w:val="center"/>
        </w:trPr>
        <w:tc>
          <w:tcPr>
            <w:tcW w:w="647" w:type="dxa"/>
            <w:vAlign w:val="center"/>
          </w:tcPr>
          <w:p w14:paraId="3D2701F6" w14:textId="77777777" w:rsidR="00E65D8C" w:rsidRPr="00A90D40" w:rsidRDefault="00E65D8C" w:rsidP="00E65D8C">
            <w:pPr>
              <w:widowControl/>
              <w:snapToGrid w:val="0"/>
              <w:jc w:val="center"/>
              <w:rPr>
                <w:rFonts w:ascii="宋体" w:eastAsia="宋体" w:hAnsi="宋体" w:cs="宋体"/>
                <w:b/>
                <w:bCs/>
                <w:kern w:val="0"/>
                <w:szCs w:val="21"/>
              </w:rPr>
            </w:pPr>
            <w:r w:rsidRPr="00A90D40">
              <w:rPr>
                <w:rFonts w:ascii="宋体" w:eastAsia="宋体" w:hAnsi="宋体" w:cs="宋体" w:hint="eastAsia"/>
                <w:b/>
                <w:bCs/>
                <w:kern w:val="0"/>
                <w:szCs w:val="21"/>
              </w:rPr>
              <w:t>1</w:t>
            </w:r>
            <w:r w:rsidRPr="00A90D40">
              <w:rPr>
                <w:rFonts w:ascii="宋体" w:eastAsia="宋体" w:hAnsi="宋体" w:cs="宋体"/>
                <w:b/>
                <w:bCs/>
                <w:kern w:val="0"/>
                <w:szCs w:val="21"/>
              </w:rPr>
              <w:t>3</w:t>
            </w:r>
          </w:p>
        </w:tc>
        <w:tc>
          <w:tcPr>
            <w:tcW w:w="709" w:type="dxa"/>
            <w:vMerge/>
            <w:shd w:val="clear" w:color="auto" w:fill="auto"/>
            <w:vAlign w:val="center"/>
          </w:tcPr>
          <w:p w14:paraId="1C8316FB" w14:textId="77777777" w:rsidR="00E65D8C" w:rsidRPr="00A90D40" w:rsidRDefault="00E65D8C" w:rsidP="00E65D8C">
            <w:pPr>
              <w:widowControl/>
              <w:snapToGrid w:val="0"/>
              <w:jc w:val="left"/>
              <w:rPr>
                <w:rFonts w:ascii="宋体" w:eastAsia="宋体" w:hAnsi="宋体" w:cs="宋体"/>
                <w:b/>
                <w:bCs/>
                <w:kern w:val="0"/>
                <w:szCs w:val="21"/>
              </w:rPr>
            </w:pPr>
          </w:p>
        </w:tc>
        <w:tc>
          <w:tcPr>
            <w:tcW w:w="3970" w:type="dxa"/>
            <w:shd w:val="clear" w:color="auto" w:fill="auto"/>
            <w:vAlign w:val="center"/>
          </w:tcPr>
          <w:p w14:paraId="6C156223" w14:textId="77777777" w:rsidR="00E65D8C" w:rsidRPr="00A90D40" w:rsidRDefault="00E65D8C" w:rsidP="00E65D8C">
            <w:pPr>
              <w:widowControl/>
              <w:snapToGrid w:val="0"/>
              <w:jc w:val="left"/>
              <w:rPr>
                <w:rFonts w:ascii="宋体" w:eastAsia="宋体" w:hAnsi="宋体" w:cs="宋体"/>
                <w:kern w:val="0"/>
                <w:szCs w:val="21"/>
              </w:rPr>
            </w:pPr>
            <w:r w:rsidRPr="00A90D40">
              <w:rPr>
                <w:rFonts w:ascii="宋体" w:eastAsia="宋体" w:hAnsi="宋体" w:cs="宋体" w:hint="eastAsia"/>
                <w:kern w:val="0"/>
                <w:szCs w:val="21"/>
              </w:rPr>
              <w:t>高中阶段教育毛入学率</w:t>
            </w:r>
            <w:r>
              <w:rPr>
                <w:rFonts w:ascii="宋体" w:eastAsia="宋体" w:hAnsi="宋体" w:cs="宋体" w:hint="eastAsia"/>
                <w:kern w:val="0"/>
                <w:szCs w:val="21"/>
              </w:rPr>
              <w:t>（%）</w:t>
            </w:r>
          </w:p>
        </w:tc>
        <w:tc>
          <w:tcPr>
            <w:tcW w:w="993" w:type="dxa"/>
            <w:tcBorders>
              <w:bottom w:val="single" w:sz="4" w:space="0" w:color="auto"/>
            </w:tcBorders>
            <w:shd w:val="clear" w:color="auto" w:fill="auto"/>
            <w:vAlign w:val="center"/>
          </w:tcPr>
          <w:p w14:paraId="0B62D972" w14:textId="77777777" w:rsidR="00E65D8C" w:rsidRPr="00A90D40" w:rsidRDefault="00E65D8C" w:rsidP="00E65D8C">
            <w:pPr>
              <w:rPr>
                <w:rFonts w:ascii="宋体" w:eastAsia="宋体" w:hAnsi="宋体" w:cs="宋体"/>
                <w:kern w:val="0"/>
                <w:szCs w:val="21"/>
              </w:rPr>
            </w:pPr>
            <w:r w:rsidRPr="00A90D40">
              <w:rPr>
                <w:rFonts w:ascii="宋体" w:eastAsia="宋体" w:hAnsi="宋体" w:cs="宋体" w:hint="eastAsia"/>
                <w:kern w:val="0"/>
                <w:sz w:val="15"/>
                <w:szCs w:val="15"/>
              </w:rPr>
              <w:t xml:space="preserve"> </w:t>
            </w:r>
            <w:r w:rsidRPr="00A90D40">
              <w:rPr>
                <w:rFonts w:ascii="宋体" w:eastAsia="宋体" w:hAnsi="宋体" w:cs="宋体"/>
                <w:kern w:val="0"/>
                <w:sz w:val="15"/>
                <w:szCs w:val="15"/>
              </w:rPr>
              <w:t xml:space="preserve">   </w:t>
            </w:r>
            <w:r w:rsidRPr="00290A4B">
              <w:rPr>
                <w:rFonts w:hint="eastAsia"/>
              </w:rPr>
              <w:t>—</w:t>
            </w:r>
          </w:p>
        </w:tc>
        <w:tc>
          <w:tcPr>
            <w:tcW w:w="990" w:type="dxa"/>
            <w:shd w:val="clear" w:color="auto" w:fill="auto"/>
            <w:vAlign w:val="center"/>
          </w:tcPr>
          <w:p w14:paraId="6A3CA049" w14:textId="77777777" w:rsidR="00E65D8C" w:rsidRPr="00A90D40"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kern w:val="0"/>
                <w:szCs w:val="21"/>
              </w:rPr>
              <w:t>00</w:t>
            </w:r>
          </w:p>
        </w:tc>
        <w:tc>
          <w:tcPr>
            <w:tcW w:w="828" w:type="dxa"/>
            <w:shd w:val="clear" w:color="auto" w:fill="auto"/>
            <w:vAlign w:val="center"/>
          </w:tcPr>
          <w:p w14:paraId="32DE015D" w14:textId="77777777" w:rsidR="00E65D8C" w:rsidRPr="00A90D40" w:rsidRDefault="00E65D8C" w:rsidP="00E65D8C">
            <w:pPr>
              <w:widowControl/>
              <w:snapToGrid w:val="0"/>
              <w:jc w:val="center"/>
              <w:rPr>
                <w:rFonts w:ascii="宋体" w:eastAsia="宋体" w:hAnsi="宋体" w:cs="宋体"/>
                <w:kern w:val="0"/>
                <w:szCs w:val="21"/>
              </w:rPr>
            </w:pPr>
            <w:r w:rsidRPr="00A90D40">
              <w:rPr>
                <w:rFonts w:hint="eastAsia"/>
              </w:rPr>
              <w:t>—</w:t>
            </w:r>
          </w:p>
        </w:tc>
        <w:tc>
          <w:tcPr>
            <w:tcW w:w="895" w:type="dxa"/>
            <w:shd w:val="clear" w:color="auto" w:fill="auto"/>
            <w:vAlign w:val="center"/>
          </w:tcPr>
          <w:p w14:paraId="09E71565" w14:textId="77777777" w:rsidR="00E65D8C" w:rsidRPr="00A90D40" w:rsidRDefault="00E65D8C" w:rsidP="00E65D8C">
            <w:pPr>
              <w:widowControl/>
              <w:snapToGrid w:val="0"/>
              <w:jc w:val="center"/>
              <w:rPr>
                <w:rFonts w:ascii="宋体" w:eastAsia="宋体" w:hAnsi="宋体" w:cs="宋体"/>
                <w:kern w:val="0"/>
                <w:szCs w:val="21"/>
              </w:rPr>
            </w:pPr>
            <w:r w:rsidRPr="00A90D40">
              <w:rPr>
                <w:rFonts w:ascii="宋体" w:eastAsia="宋体" w:hAnsi="宋体" w:cs="宋体" w:hint="eastAsia"/>
                <w:kern w:val="0"/>
                <w:szCs w:val="21"/>
              </w:rPr>
              <w:t>预期性</w:t>
            </w:r>
          </w:p>
        </w:tc>
      </w:tr>
      <w:tr w:rsidR="00E65D8C" w14:paraId="3F93DCA6" w14:textId="77777777" w:rsidTr="00E65D8C">
        <w:trPr>
          <w:trHeight w:hRule="exact" w:val="567"/>
          <w:jc w:val="center"/>
        </w:trPr>
        <w:tc>
          <w:tcPr>
            <w:tcW w:w="647" w:type="dxa"/>
            <w:vAlign w:val="center"/>
          </w:tcPr>
          <w:p w14:paraId="21F2DDA6" w14:textId="77777777" w:rsidR="00E65D8C" w:rsidRDefault="00E65D8C" w:rsidP="00E65D8C">
            <w:pPr>
              <w:snapToGrid w:val="0"/>
              <w:jc w:val="center"/>
              <w:rPr>
                <w:rFonts w:ascii="宋体" w:eastAsia="宋体" w:hAnsi="宋体" w:cs="宋体"/>
                <w:b/>
                <w:bCs/>
                <w:kern w:val="0"/>
                <w:szCs w:val="21"/>
              </w:rPr>
            </w:pPr>
            <w:r>
              <w:rPr>
                <w:rFonts w:ascii="宋体" w:eastAsia="宋体" w:hAnsi="宋体" w:cs="宋体" w:hint="eastAsia"/>
                <w:b/>
                <w:bCs/>
                <w:kern w:val="0"/>
                <w:szCs w:val="21"/>
              </w:rPr>
              <w:t>1</w:t>
            </w:r>
            <w:r>
              <w:rPr>
                <w:rFonts w:ascii="宋体" w:eastAsia="宋体" w:hAnsi="宋体" w:cs="宋体"/>
                <w:b/>
                <w:bCs/>
                <w:kern w:val="0"/>
                <w:szCs w:val="21"/>
              </w:rPr>
              <w:t>4</w:t>
            </w:r>
          </w:p>
        </w:tc>
        <w:tc>
          <w:tcPr>
            <w:tcW w:w="709" w:type="dxa"/>
            <w:vMerge w:val="restart"/>
            <w:shd w:val="clear" w:color="auto" w:fill="auto"/>
            <w:vAlign w:val="center"/>
          </w:tcPr>
          <w:p w14:paraId="7D2DEE16" w14:textId="77777777" w:rsidR="00E65D8C" w:rsidRDefault="00E65D8C" w:rsidP="00E65D8C">
            <w:pPr>
              <w:snapToGrid w:val="0"/>
              <w:jc w:val="center"/>
              <w:rPr>
                <w:rFonts w:ascii="宋体" w:eastAsia="宋体" w:hAnsi="宋体" w:cs="宋体"/>
                <w:b/>
                <w:bCs/>
                <w:kern w:val="0"/>
                <w:szCs w:val="21"/>
              </w:rPr>
            </w:pPr>
            <w:r>
              <w:rPr>
                <w:rFonts w:ascii="宋体" w:eastAsia="宋体" w:hAnsi="宋体" w:cs="宋体" w:hint="eastAsia"/>
                <w:b/>
                <w:bCs/>
                <w:kern w:val="0"/>
                <w:szCs w:val="21"/>
              </w:rPr>
              <w:t>绿色生态</w:t>
            </w:r>
          </w:p>
        </w:tc>
        <w:tc>
          <w:tcPr>
            <w:tcW w:w="3970" w:type="dxa"/>
            <w:tcBorders>
              <w:right w:val="single" w:sz="4" w:space="0" w:color="auto"/>
            </w:tcBorders>
            <w:shd w:val="clear" w:color="auto" w:fill="auto"/>
            <w:vAlign w:val="center"/>
          </w:tcPr>
          <w:p w14:paraId="6613C3F4"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单位GDP能源消耗降幅（%）</w:t>
            </w:r>
          </w:p>
        </w:tc>
        <w:tc>
          <w:tcPr>
            <w:tcW w:w="993"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F5156E9" w14:textId="77777777" w:rsidR="00E65D8C" w:rsidRDefault="00E65D8C" w:rsidP="00E65D8C">
            <w:pPr>
              <w:widowControl/>
              <w:snapToGrid w:val="0"/>
              <w:jc w:val="center"/>
              <w:rPr>
                <w:rFonts w:ascii="宋体" w:eastAsia="宋体" w:hAnsi="宋体" w:cs="宋体"/>
                <w:kern w:val="0"/>
                <w:szCs w:val="21"/>
              </w:rPr>
            </w:pPr>
            <w:r w:rsidRPr="00290A4B">
              <w:rPr>
                <w:rFonts w:hint="eastAsia"/>
              </w:rPr>
              <w:t>—</w:t>
            </w:r>
          </w:p>
        </w:tc>
        <w:tc>
          <w:tcPr>
            <w:tcW w:w="990" w:type="dxa"/>
            <w:tcBorders>
              <w:left w:val="single" w:sz="4" w:space="0" w:color="auto"/>
            </w:tcBorders>
            <w:shd w:val="clear" w:color="auto" w:fill="auto"/>
            <w:vAlign w:val="center"/>
          </w:tcPr>
          <w:p w14:paraId="0E7FF85F" w14:textId="77777777" w:rsidR="00E65D8C" w:rsidRPr="002B0821" w:rsidRDefault="00E65D8C" w:rsidP="00E65D8C">
            <w:pPr>
              <w:widowControl/>
              <w:snapToGrid w:val="0"/>
              <w:rPr>
                <w:rFonts w:ascii="宋体" w:eastAsia="宋体" w:hAnsi="宋体" w:cs="宋体"/>
                <w:kern w:val="0"/>
                <w:sz w:val="15"/>
                <w:szCs w:val="15"/>
              </w:rPr>
            </w:pPr>
            <w:r w:rsidRPr="002B0821">
              <w:rPr>
                <w:rFonts w:ascii="宋体" w:eastAsia="宋体" w:hAnsi="宋体" w:cs="宋体" w:hint="eastAsia"/>
                <w:kern w:val="0"/>
                <w:sz w:val="15"/>
                <w:szCs w:val="15"/>
              </w:rPr>
              <w:t>按长春要求</w:t>
            </w:r>
          </w:p>
        </w:tc>
        <w:tc>
          <w:tcPr>
            <w:tcW w:w="828" w:type="dxa"/>
            <w:shd w:val="clear" w:color="auto" w:fill="auto"/>
            <w:vAlign w:val="center"/>
          </w:tcPr>
          <w:p w14:paraId="5E68122D" w14:textId="77777777" w:rsidR="00E65D8C" w:rsidRDefault="00E65D8C" w:rsidP="00E65D8C">
            <w:pPr>
              <w:widowControl/>
              <w:snapToGrid w:val="0"/>
              <w:jc w:val="center"/>
              <w:rPr>
                <w:rFonts w:ascii="宋体" w:eastAsia="宋体" w:hAnsi="宋体" w:cs="宋体"/>
                <w:kern w:val="0"/>
                <w:sz w:val="15"/>
                <w:szCs w:val="15"/>
              </w:rPr>
            </w:pPr>
            <w:r w:rsidRPr="00373555">
              <w:rPr>
                <w:rFonts w:hint="eastAsia"/>
              </w:rPr>
              <w:t>—</w:t>
            </w:r>
          </w:p>
        </w:tc>
        <w:tc>
          <w:tcPr>
            <w:tcW w:w="895" w:type="dxa"/>
            <w:shd w:val="clear" w:color="auto" w:fill="auto"/>
            <w:vAlign w:val="center"/>
          </w:tcPr>
          <w:p w14:paraId="598E34FE"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约束性</w:t>
            </w:r>
          </w:p>
        </w:tc>
      </w:tr>
      <w:tr w:rsidR="00E65D8C" w14:paraId="41630197" w14:textId="77777777" w:rsidTr="00E65D8C">
        <w:trPr>
          <w:trHeight w:hRule="exact" w:val="567"/>
          <w:jc w:val="center"/>
        </w:trPr>
        <w:tc>
          <w:tcPr>
            <w:tcW w:w="647" w:type="dxa"/>
            <w:vAlign w:val="center"/>
          </w:tcPr>
          <w:p w14:paraId="2684A71F" w14:textId="77777777" w:rsidR="00E65D8C" w:rsidRDefault="00E65D8C" w:rsidP="00E65D8C">
            <w:pPr>
              <w:snapToGrid w:val="0"/>
              <w:jc w:val="center"/>
              <w:rPr>
                <w:rFonts w:ascii="宋体" w:eastAsia="宋体" w:hAnsi="宋体" w:cs="宋体"/>
                <w:b/>
                <w:bCs/>
                <w:kern w:val="0"/>
                <w:szCs w:val="21"/>
              </w:rPr>
            </w:pPr>
            <w:r>
              <w:rPr>
                <w:rFonts w:ascii="宋体" w:eastAsia="宋体" w:hAnsi="宋体" w:cs="宋体" w:hint="eastAsia"/>
                <w:b/>
                <w:bCs/>
                <w:kern w:val="0"/>
                <w:szCs w:val="21"/>
              </w:rPr>
              <w:t>1</w:t>
            </w:r>
            <w:r>
              <w:rPr>
                <w:rFonts w:ascii="宋体" w:eastAsia="宋体" w:hAnsi="宋体" w:cs="宋体"/>
                <w:b/>
                <w:bCs/>
                <w:kern w:val="0"/>
                <w:szCs w:val="21"/>
              </w:rPr>
              <w:t>5</w:t>
            </w:r>
          </w:p>
        </w:tc>
        <w:tc>
          <w:tcPr>
            <w:tcW w:w="709" w:type="dxa"/>
            <w:vMerge/>
            <w:shd w:val="clear" w:color="auto" w:fill="auto"/>
            <w:vAlign w:val="center"/>
          </w:tcPr>
          <w:p w14:paraId="4A0C096F" w14:textId="77777777" w:rsidR="00E65D8C" w:rsidRDefault="00E65D8C" w:rsidP="00E65D8C">
            <w:pPr>
              <w:snapToGrid w:val="0"/>
              <w:jc w:val="center"/>
              <w:rPr>
                <w:rFonts w:ascii="宋体" w:eastAsia="宋体" w:hAnsi="宋体" w:cs="宋体"/>
                <w:b/>
                <w:bCs/>
                <w:kern w:val="0"/>
                <w:szCs w:val="21"/>
              </w:rPr>
            </w:pPr>
          </w:p>
        </w:tc>
        <w:tc>
          <w:tcPr>
            <w:tcW w:w="3970" w:type="dxa"/>
            <w:tcBorders>
              <w:right w:val="single" w:sz="4" w:space="0" w:color="auto"/>
            </w:tcBorders>
            <w:shd w:val="clear" w:color="auto" w:fill="auto"/>
            <w:vAlign w:val="center"/>
          </w:tcPr>
          <w:p w14:paraId="4AD2B181"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单位GDP二氧化碳排放降低（%）</w:t>
            </w:r>
          </w:p>
        </w:tc>
        <w:tc>
          <w:tcPr>
            <w:tcW w:w="993"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FF074F6" w14:textId="77777777" w:rsidR="00E65D8C" w:rsidRDefault="00E65D8C" w:rsidP="00E65D8C">
            <w:pPr>
              <w:widowControl/>
              <w:snapToGrid w:val="0"/>
              <w:jc w:val="center"/>
              <w:rPr>
                <w:rFonts w:ascii="宋体" w:eastAsia="宋体" w:hAnsi="宋体" w:cs="宋体"/>
                <w:kern w:val="0"/>
                <w:szCs w:val="21"/>
              </w:rPr>
            </w:pPr>
            <w:r w:rsidRPr="00290A4B">
              <w:rPr>
                <w:rFonts w:hint="eastAsia"/>
              </w:rPr>
              <w:t>—</w:t>
            </w:r>
          </w:p>
        </w:tc>
        <w:tc>
          <w:tcPr>
            <w:tcW w:w="990" w:type="dxa"/>
            <w:tcBorders>
              <w:left w:val="single" w:sz="4" w:space="0" w:color="auto"/>
            </w:tcBorders>
            <w:shd w:val="clear" w:color="auto" w:fill="auto"/>
            <w:vAlign w:val="center"/>
          </w:tcPr>
          <w:p w14:paraId="16C3C5B4" w14:textId="77777777" w:rsidR="00E65D8C" w:rsidRPr="002B0821" w:rsidRDefault="00E65D8C" w:rsidP="00E65D8C">
            <w:pPr>
              <w:widowControl/>
              <w:snapToGrid w:val="0"/>
              <w:rPr>
                <w:rFonts w:ascii="宋体" w:eastAsia="宋体" w:hAnsi="宋体" w:cs="宋体"/>
                <w:kern w:val="0"/>
                <w:sz w:val="15"/>
                <w:szCs w:val="15"/>
              </w:rPr>
            </w:pPr>
            <w:r w:rsidRPr="002B0821">
              <w:rPr>
                <w:rFonts w:ascii="宋体" w:eastAsia="宋体" w:hAnsi="宋体" w:cs="宋体" w:hint="eastAsia"/>
                <w:kern w:val="0"/>
                <w:sz w:val="15"/>
                <w:szCs w:val="15"/>
              </w:rPr>
              <w:t>按长春要求</w:t>
            </w:r>
          </w:p>
        </w:tc>
        <w:tc>
          <w:tcPr>
            <w:tcW w:w="828" w:type="dxa"/>
            <w:shd w:val="clear" w:color="auto" w:fill="auto"/>
            <w:vAlign w:val="center"/>
          </w:tcPr>
          <w:p w14:paraId="6F84570A" w14:textId="77777777" w:rsidR="00E65D8C" w:rsidRDefault="00E65D8C" w:rsidP="00E65D8C">
            <w:pPr>
              <w:widowControl/>
              <w:snapToGrid w:val="0"/>
              <w:jc w:val="center"/>
              <w:rPr>
                <w:rFonts w:ascii="宋体" w:eastAsia="宋体" w:hAnsi="宋体" w:cs="宋体"/>
                <w:kern w:val="0"/>
                <w:szCs w:val="21"/>
              </w:rPr>
            </w:pPr>
            <w:r w:rsidRPr="00373555">
              <w:rPr>
                <w:rFonts w:hint="eastAsia"/>
              </w:rPr>
              <w:t>—</w:t>
            </w:r>
          </w:p>
        </w:tc>
        <w:tc>
          <w:tcPr>
            <w:tcW w:w="895" w:type="dxa"/>
            <w:shd w:val="clear" w:color="auto" w:fill="auto"/>
            <w:vAlign w:val="center"/>
          </w:tcPr>
          <w:p w14:paraId="430C13DE"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约束性</w:t>
            </w:r>
          </w:p>
        </w:tc>
      </w:tr>
      <w:tr w:rsidR="00E65D8C" w14:paraId="3289028D" w14:textId="77777777" w:rsidTr="00E65D8C">
        <w:trPr>
          <w:trHeight w:hRule="exact" w:val="567"/>
          <w:jc w:val="center"/>
        </w:trPr>
        <w:tc>
          <w:tcPr>
            <w:tcW w:w="647" w:type="dxa"/>
            <w:vAlign w:val="center"/>
          </w:tcPr>
          <w:p w14:paraId="0E40E4CF" w14:textId="77777777" w:rsidR="00E65D8C" w:rsidRPr="00ED3343" w:rsidRDefault="00E65D8C" w:rsidP="00E65D8C">
            <w:pPr>
              <w:widowControl/>
              <w:snapToGrid w:val="0"/>
              <w:jc w:val="center"/>
              <w:rPr>
                <w:rFonts w:ascii="宋体" w:eastAsia="宋体" w:hAnsi="宋体" w:cs="宋体"/>
                <w:b/>
                <w:bCs/>
                <w:kern w:val="0"/>
                <w:szCs w:val="21"/>
              </w:rPr>
            </w:pPr>
            <w:r w:rsidRPr="00ED3343">
              <w:rPr>
                <w:rFonts w:ascii="宋体" w:eastAsia="宋体" w:hAnsi="宋体" w:cs="宋体"/>
                <w:b/>
                <w:bCs/>
                <w:kern w:val="0"/>
                <w:szCs w:val="21"/>
              </w:rPr>
              <w:t>16</w:t>
            </w:r>
          </w:p>
        </w:tc>
        <w:tc>
          <w:tcPr>
            <w:tcW w:w="709" w:type="dxa"/>
            <w:vMerge/>
            <w:shd w:val="clear" w:color="auto" w:fill="auto"/>
            <w:vAlign w:val="center"/>
          </w:tcPr>
          <w:p w14:paraId="6A96A2B4" w14:textId="77777777" w:rsidR="00E65D8C" w:rsidRDefault="00E65D8C" w:rsidP="00E65D8C">
            <w:pPr>
              <w:snapToGrid w:val="0"/>
              <w:jc w:val="center"/>
              <w:rPr>
                <w:rFonts w:ascii="宋体" w:eastAsia="宋体" w:hAnsi="宋体" w:cs="宋体"/>
                <w:kern w:val="0"/>
                <w:szCs w:val="21"/>
              </w:rPr>
            </w:pPr>
          </w:p>
        </w:tc>
        <w:tc>
          <w:tcPr>
            <w:tcW w:w="3970" w:type="dxa"/>
            <w:shd w:val="clear" w:color="auto" w:fill="auto"/>
            <w:vAlign w:val="center"/>
          </w:tcPr>
          <w:p w14:paraId="2FECB480"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城市空气质量优良天数比例（%）</w:t>
            </w:r>
          </w:p>
        </w:tc>
        <w:tc>
          <w:tcPr>
            <w:tcW w:w="993" w:type="dxa"/>
            <w:shd w:val="clear" w:color="auto" w:fill="auto"/>
            <w:vAlign w:val="center"/>
          </w:tcPr>
          <w:p w14:paraId="26D55590"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8</w:t>
            </w:r>
            <w:r>
              <w:rPr>
                <w:rFonts w:ascii="宋体" w:eastAsia="宋体" w:hAnsi="宋体" w:cs="宋体"/>
                <w:kern w:val="0"/>
                <w:szCs w:val="21"/>
              </w:rPr>
              <w:t>5</w:t>
            </w:r>
          </w:p>
        </w:tc>
        <w:tc>
          <w:tcPr>
            <w:tcW w:w="990" w:type="dxa"/>
            <w:shd w:val="clear" w:color="auto" w:fill="auto"/>
            <w:vAlign w:val="center"/>
          </w:tcPr>
          <w:p w14:paraId="61403E97"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kern w:val="0"/>
                <w:szCs w:val="21"/>
              </w:rPr>
              <w:t>90</w:t>
            </w:r>
          </w:p>
        </w:tc>
        <w:tc>
          <w:tcPr>
            <w:tcW w:w="828" w:type="dxa"/>
            <w:shd w:val="clear" w:color="auto" w:fill="auto"/>
            <w:vAlign w:val="center"/>
          </w:tcPr>
          <w:p w14:paraId="78AE196B" w14:textId="77777777" w:rsidR="00E65D8C" w:rsidRDefault="00E65D8C" w:rsidP="00E65D8C">
            <w:pPr>
              <w:widowControl/>
              <w:snapToGrid w:val="0"/>
              <w:jc w:val="center"/>
              <w:rPr>
                <w:rFonts w:ascii="宋体" w:eastAsia="宋体" w:hAnsi="宋体" w:cs="宋体"/>
                <w:w w:val="90"/>
                <w:kern w:val="0"/>
                <w:szCs w:val="21"/>
              </w:rPr>
            </w:pPr>
            <w:r w:rsidRPr="00DF2BCB">
              <w:rPr>
                <w:rFonts w:hint="eastAsia"/>
              </w:rPr>
              <w:t>—</w:t>
            </w:r>
          </w:p>
        </w:tc>
        <w:tc>
          <w:tcPr>
            <w:tcW w:w="895" w:type="dxa"/>
            <w:shd w:val="clear" w:color="auto" w:fill="auto"/>
            <w:vAlign w:val="center"/>
          </w:tcPr>
          <w:p w14:paraId="4A1213A8" w14:textId="77777777" w:rsidR="00E65D8C" w:rsidRDefault="00E65D8C" w:rsidP="00E65D8C">
            <w:pPr>
              <w:widowControl/>
              <w:snapToGrid w:val="0"/>
              <w:jc w:val="center"/>
              <w:rPr>
                <w:rFonts w:ascii="宋体" w:eastAsia="宋体" w:hAnsi="宋体" w:cs="宋体"/>
                <w:b/>
                <w:kern w:val="0"/>
                <w:szCs w:val="21"/>
              </w:rPr>
            </w:pPr>
            <w:r w:rsidRPr="003041EB">
              <w:rPr>
                <w:rFonts w:ascii="宋体" w:eastAsia="宋体" w:hAnsi="宋体" w:cs="宋体" w:hint="eastAsia"/>
                <w:kern w:val="0"/>
                <w:szCs w:val="21"/>
              </w:rPr>
              <w:t>约束性</w:t>
            </w:r>
          </w:p>
        </w:tc>
      </w:tr>
      <w:tr w:rsidR="00E65D8C" w14:paraId="368B45DF" w14:textId="77777777" w:rsidTr="00E65D8C">
        <w:trPr>
          <w:trHeight w:hRule="exact" w:val="567"/>
          <w:jc w:val="center"/>
        </w:trPr>
        <w:tc>
          <w:tcPr>
            <w:tcW w:w="647" w:type="dxa"/>
            <w:vAlign w:val="center"/>
          </w:tcPr>
          <w:p w14:paraId="4D33B1FD" w14:textId="77777777" w:rsidR="00E65D8C" w:rsidRPr="00ED3343" w:rsidRDefault="00E65D8C" w:rsidP="00E65D8C">
            <w:pPr>
              <w:widowControl/>
              <w:snapToGrid w:val="0"/>
              <w:jc w:val="center"/>
              <w:rPr>
                <w:rFonts w:ascii="宋体" w:eastAsia="宋体" w:hAnsi="宋体" w:cs="宋体"/>
                <w:b/>
                <w:bCs/>
                <w:kern w:val="0"/>
                <w:szCs w:val="21"/>
              </w:rPr>
            </w:pPr>
            <w:r w:rsidRPr="00ED3343">
              <w:rPr>
                <w:rFonts w:ascii="宋体" w:eastAsia="宋体" w:hAnsi="宋体" w:cs="宋体"/>
                <w:b/>
                <w:bCs/>
                <w:kern w:val="0"/>
                <w:szCs w:val="21"/>
              </w:rPr>
              <w:t>17</w:t>
            </w:r>
          </w:p>
        </w:tc>
        <w:tc>
          <w:tcPr>
            <w:tcW w:w="709" w:type="dxa"/>
            <w:vMerge/>
            <w:shd w:val="clear" w:color="auto" w:fill="auto"/>
            <w:vAlign w:val="center"/>
          </w:tcPr>
          <w:p w14:paraId="53401DC9" w14:textId="77777777" w:rsidR="00E65D8C" w:rsidRDefault="00E65D8C" w:rsidP="00E65D8C">
            <w:pPr>
              <w:widowControl/>
              <w:snapToGrid w:val="0"/>
              <w:jc w:val="center"/>
              <w:rPr>
                <w:rFonts w:ascii="宋体" w:eastAsia="宋体" w:hAnsi="宋体" w:cs="宋体"/>
                <w:kern w:val="0"/>
                <w:szCs w:val="21"/>
              </w:rPr>
            </w:pPr>
          </w:p>
        </w:tc>
        <w:tc>
          <w:tcPr>
            <w:tcW w:w="3970" w:type="dxa"/>
            <w:shd w:val="clear" w:color="auto" w:fill="auto"/>
            <w:vAlign w:val="center"/>
          </w:tcPr>
          <w:p w14:paraId="5DC390EB"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地表水达到或好于</w:t>
            </w:r>
            <w:r w:rsidRPr="00AC3FA4">
              <w:rPr>
                <w:rFonts w:ascii="宋体" w:eastAsia="宋体" w:hAnsi="宋体" w:cs="宋体" w:hint="eastAsia"/>
                <w:kern w:val="0"/>
                <w:szCs w:val="21"/>
              </w:rPr>
              <w:t>Ⅲ</w:t>
            </w:r>
            <w:r>
              <w:rPr>
                <w:rFonts w:ascii="宋体" w:eastAsia="宋体" w:hAnsi="宋体" w:cs="宋体" w:hint="eastAsia"/>
                <w:kern w:val="0"/>
                <w:szCs w:val="21"/>
              </w:rPr>
              <w:t>类水体比例（%）</w:t>
            </w:r>
          </w:p>
        </w:tc>
        <w:tc>
          <w:tcPr>
            <w:tcW w:w="993" w:type="dxa"/>
            <w:shd w:val="clear" w:color="auto" w:fill="auto"/>
            <w:vAlign w:val="center"/>
          </w:tcPr>
          <w:p w14:paraId="329B6C9A" w14:textId="77777777" w:rsidR="00E65D8C" w:rsidRDefault="00E65D8C" w:rsidP="00E65D8C">
            <w:pPr>
              <w:widowControl/>
              <w:snapToGrid w:val="0"/>
              <w:jc w:val="center"/>
              <w:rPr>
                <w:rFonts w:ascii="宋体" w:eastAsia="宋体" w:hAnsi="宋体" w:cs="宋体"/>
                <w:kern w:val="0"/>
                <w:szCs w:val="21"/>
              </w:rPr>
            </w:pPr>
            <w:r w:rsidRPr="00290A4B">
              <w:rPr>
                <w:rFonts w:hint="eastAsia"/>
              </w:rPr>
              <w:t>—</w:t>
            </w:r>
          </w:p>
        </w:tc>
        <w:tc>
          <w:tcPr>
            <w:tcW w:w="990" w:type="dxa"/>
            <w:shd w:val="clear" w:color="auto" w:fill="auto"/>
            <w:vAlign w:val="center"/>
          </w:tcPr>
          <w:p w14:paraId="0FA212A3" w14:textId="77777777" w:rsidR="00E65D8C" w:rsidRDefault="00E65D8C" w:rsidP="00E65D8C">
            <w:pPr>
              <w:widowControl/>
              <w:snapToGrid w:val="0"/>
              <w:rPr>
                <w:rFonts w:ascii="宋体" w:eastAsia="宋体" w:hAnsi="宋体" w:cs="宋体"/>
                <w:kern w:val="0"/>
                <w:szCs w:val="21"/>
              </w:rPr>
            </w:pPr>
            <w:r w:rsidRPr="002B0821">
              <w:rPr>
                <w:rFonts w:ascii="宋体" w:eastAsia="宋体" w:hAnsi="宋体" w:cs="宋体" w:hint="eastAsia"/>
                <w:kern w:val="0"/>
                <w:sz w:val="15"/>
                <w:szCs w:val="15"/>
              </w:rPr>
              <w:t>按长春要求</w:t>
            </w:r>
          </w:p>
        </w:tc>
        <w:tc>
          <w:tcPr>
            <w:tcW w:w="828" w:type="dxa"/>
            <w:shd w:val="clear" w:color="auto" w:fill="auto"/>
            <w:vAlign w:val="center"/>
          </w:tcPr>
          <w:p w14:paraId="57B19DA7" w14:textId="77777777" w:rsidR="00E65D8C" w:rsidRDefault="00E65D8C" w:rsidP="00E65D8C">
            <w:pPr>
              <w:widowControl/>
              <w:snapToGrid w:val="0"/>
              <w:jc w:val="center"/>
              <w:rPr>
                <w:rFonts w:ascii="宋体" w:eastAsia="宋体" w:hAnsi="宋体" w:cs="宋体"/>
                <w:w w:val="90"/>
                <w:kern w:val="0"/>
                <w:szCs w:val="21"/>
              </w:rPr>
            </w:pPr>
            <w:r w:rsidRPr="00DF2BCB">
              <w:rPr>
                <w:rFonts w:hint="eastAsia"/>
              </w:rPr>
              <w:t>—</w:t>
            </w:r>
          </w:p>
        </w:tc>
        <w:tc>
          <w:tcPr>
            <w:tcW w:w="895" w:type="dxa"/>
            <w:shd w:val="clear" w:color="auto" w:fill="auto"/>
            <w:vAlign w:val="center"/>
          </w:tcPr>
          <w:p w14:paraId="53F9F079" w14:textId="77777777" w:rsidR="00E65D8C" w:rsidRDefault="00E65D8C" w:rsidP="00E65D8C">
            <w:pPr>
              <w:widowControl/>
              <w:snapToGrid w:val="0"/>
              <w:jc w:val="center"/>
              <w:rPr>
                <w:rFonts w:ascii="宋体" w:eastAsia="宋体" w:hAnsi="宋体" w:cs="宋体"/>
                <w:kern w:val="0"/>
                <w:szCs w:val="21"/>
              </w:rPr>
            </w:pPr>
            <w:r w:rsidRPr="003041EB">
              <w:rPr>
                <w:rFonts w:ascii="宋体" w:eastAsia="宋体" w:hAnsi="宋体" w:cs="宋体" w:hint="eastAsia"/>
                <w:kern w:val="0"/>
                <w:szCs w:val="21"/>
              </w:rPr>
              <w:t>约束性</w:t>
            </w:r>
          </w:p>
        </w:tc>
      </w:tr>
      <w:tr w:rsidR="00E65D8C" w14:paraId="34B9D15E" w14:textId="77777777" w:rsidTr="00E65D8C">
        <w:trPr>
          <w:trHeight w:hRule="exact" w:val="567"/>
          <w:jc w:val="center"/>
        </w:trPr>
        <w:tc>
          <w:tcPr>
            <w:tcW w:w="647" w:type="dxa"/>
            <w:vAlign w:val="center"/>
          </w:tcPr>
          <w:p w14:paraId="180455C7" w14:textId="77777777" w:rsidR="00E65D8C" w:rsidRPr="00ED3343" w:rsidRDefault="00E65D8C" w:rsidP="00E65D8C">
            <w:pPr>
              <w:widowControl/>
              <w:snapToGrid w:val="0"/>
              <w:jc w:val="center"/>
              <w:rPr>
                <w:rFonts w:ascii="宋体" w:eastAsia="宋体" w:hAnsi="宋体" w:cs="宋体"/>
                <w:b/>
                <w:bCs/>
                <w:kern w:val="0"/>
                <w:szCs w:val="21"/>
              </w:rPr>
            </w:pPr>
            <w:r w:rsidRPr="00ED3343">
              <w:rPr>
                <w:rFonts w:ascii="宋体" w:eastAsia="宋体" w:hAnsi="宋体" w:cs="宋体"/>
                <w:b/>
                <w:bCs/>
                <w:kern w:val="0"/>
                <w:szCs w:val="21"/>
              </w:rPr>
              <w:t>18</w:t>
            </w:r>
          </w:p>
        </w:tc>
        <w:tc>
          <w:tcPr>
            <w:tcW w:w="709" w:type="dxa"/>
            <w:vMerge/>
            <w:shd w:val="clear" w:color="auto" w:fill="auto"/>
            <w:vAlign w:val="center"/>
          </w:tcPr>
          <w:p w14:paraId="795B7DFE" w14:textId="77777777" w:rsidR="00E65D8C" w:rsidRDefault="00E65D8C" w:rsidP="00E65D8C">
            <w:pPr>
              <w:widowControl/>
              <w:snapToGrid w:val="0"/>
              <w:jc w:val="left"/>
              <w:rPr>
                <w:rFonts w:ascii="宋体" w:eastAsia="宋体" w:hAnsi="宋体" w:cs="宋体"/>
                <w:kern w:val="0"/>
                <w:szCs w:val="21"/>
              </w:rPr>
            </w:pPr>
          </w:p>
        </w:tc>
        <w:tc>
          <w:tcPr>
            <w:tcW w:w="3970" w:type="dxa"/>
            <w:shd w:val="clear" w:color="auto" w:fill="auto"/>
            <w:vAlign w:val="center"/>
          </w:tcPr>
          <w:p w14:paraId="45FD7D26"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森林覆盖率（%）</w:t>
            </w:r>
          </w:p>
        </w:tc>
        <w:tc>
          <w:tcPr>
            <w:tcW w:w="993" w:type="dxa"/>
            <w:shd w:val="clear" w:color="auto" w:fill="auto"/>
            <w:vAlign w:val="center"/>
          </w:tcPr>
          <w:p w14:paraId="28B6E8A8"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6</w:t>
            </w:r>
            <w:r>
              <w:rPr>
                <w:rFonts w:ascii="宋体" w:eastAsia="宋体" w:hAnsi="宋体" w:cs="宋体"/>
                <w:kern w:val="0"/>
                <w:szCs w:val="21"/>
              </w:rPr>
              <w:t>.4</w:t>
            </w:r>
          </w:p>
        </w:tc>
        <w:tc>
          <w:tcPr>
            <w:tcW w:w="990" w:type="dxa"/>
            <w:shd w:val="clear" w:color="auto" w:fill="auto"/>
            <w:vAlign w:val="center"/>
          </w:tcPr>
          <w:p w14:paraId="0C08444F"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6</w:t>
            </w:r>
            <w:r>
              <w:rPr>
                <w:rFonts w:ascii="宋体" w:eastAsia="宋体" w:hAnsi="宋体" w:cs="宋体"/>
                <w:kern w:val="0"/>
                <w:szCs w:val="21"/>
              </w:rPr>
              <w:t>.6</w:t>
            </w:r>
          </w:p>
        </w:tc>
        <w:tc>
          <w:tcPr>
            <w:tcW w:w="828" w:type="dxa"/>
            <w:shd w:val="clear" w:color="auto" w:fill="auto"/>
            <w:vAlign w:val="center"/>
          </w:tcPr>
          <w:p w14:paraId="343144EB" w14:textId="77777777" w:rsidR="00E65D8C" w:rsidRDefault="00E65D8C" w:rsidP="00E65D8C">
            <w:pPr>
              <w:widowControl/>
              <w:snapToGrid w:val="0"/>
              <w:jc w:val="center"/>
              <w:rPr>
                <w:rFonts w:ascii="宋体" w:eastAsia="宋体" w:hAnsi="宋体" w:cs="宋体"/>
                <w:w w:val="90"/>
                <w:kern w:val="0"/>
                <w:szCs w:val="21"/>
              </w:rPr>
            </w:pPr>
            <w:r w:rsidRPr="00DF2BCB">
              <w:rPr>
                <w:rFonts w:hint="eastAsia"/>
              </w:rPr>
              <w:t>—</w:t>
            </w:r>
          </w:p>
        </w:tc>
        <w:tc>
          <w:tcPr>
            <w:tcW w:w="895" w:type="dxa"/>
            <w:shd w:val="clear" w:color="auto" w:fill="auto"/>
            <w:vAlign w:val="center"/>
          </w:tcPr>
          <w:p w14:paraId="612DCA61"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预期性</w:t>
            </w:r>
          </w:p>
        </w:tc>
      </w:tr>
      <w:tr w:rsidR="00E65D8C" w14:paraId="63EC340D" w14:textId="77777777" w:rsidTr="00E65D8C">
        <w:trPr>
          <w:trHeight w:hRule="exact" w:val="567"/>
          <w:jc w:val="center"/>
        </w:trPr>
        <w:tc>
          <w:tcPr>
            <w:tcW w:w="647" w:type="dxa"/>
            <w:vAlign w:val="center"/>
          </w:tcPr>
          <w:p w14:paraId="57A1CCBA"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19</w:t>
            </w:r>
          </w:p>
        </w:tc>
        <w:tc>
          <w:tcPr>
            <w:tcW w:w="709" w:type="dxa"/>
            <w:vMerge w:val="restart"/>
            <w:shd w:val="clear" w:color="auto" w:fill="auto"/>
            <w:vAlign w:val="center"/>
          </w:tcPr>
          <w:p w14:paraId="7537E3A5"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b/>
                <w:bCs/>
                <w:kern w:val="0"/>
                <w:szCs w:val="21"/>
              </w:rPr>
              <w:t>安全保障</w:t>
            </w:r>
          </w:p>
        </w:tc>
        <w:tc>
          <w:tcPr>
            <w:tcW w:w="3970" w:type="dxa"/>
            <w:shd w:val="clear" w:color="auto" w:fill="auto"/>
            <w:vAlign w:val="center"/>
          </w:tcPr>
          <w:p w14:paraId="7C25163E"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粮食综合生产能力（亿斤）</w:t>
            </w:r>
          </w:p>
        </w:tc>
        <w:tc>
          <w:tcPr>
            <w:tcW w:w="993" w:type="dxa"/>
            <w:shd w:val="clear" w:color="auto" w:fill="auto"/>
            <w:vAlign w:val="center"/>
          </w:tcPr>
          <w:p w14:paraId="35D3388B"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6</w:t>
            </w:r>
            <w:r>
              <w:rPr>
                <w:rFonts w:ascii="宋体" w:eastAsia="宋体" w:hAnsi="宋体" w:cs="宋体"/>
                <w:kern w:val="0"/>
                <w:szCs w:val="21"/>
              </w:rPr>
              <w:t>0</w:t>
            </w:r>
          </w:p>
        </w:tc>
        <w:tc>
          <w:tcPr>
            <w:tcW w:w="990" w:type="dxa"/>
            <w:shd w:val="clear" w:color="auto" w:fill="auto"/>
            <w:vAlign w:val="center"/>
          </w:tcPr>
          <w:p w14:paraId="032CF541" w14:textId="77777777" w:rsidR="00E65D8C" w:rsidRDefault="00E65D8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6</w:t>
            </w:r>
            <w:r>
              <w:rPr>
                <w:rFonts w:ascii="宋体" w:eastAsia="宋体" w:hAnsi="宋体" w:cs="宋体"/>
                <w:kern w:val="0"/>
                <w:szCs w:val="21"/>
              </w:rPr>
              <w:t>5</w:t>
            </w:r>
          </w:p>
        </w:tc>
        <w:tc>
          <w:tcPr>
            <w:tcW w:w="828" w:type="dxa"/>
            <w:shd w:val="clear" w:color="auto" w:fill="auto"/>
            <w:vAlign w:val="center"/>
          </w:tcPr>
          <w:p w14:paraId="6EC98066" w14:textId="77777777" w:rsidR="00E65D8C" w:rsidRDefault="00E65D8C" w:rsidP="00E65D8C">
            <w:pPr>
              <w:widowControl/>
              <w:snapToGrid w:val="0"/>
              <w:jc w:val="center"/>
              <w:rPr>
                <w:rFonts w:ascii="宋体" w:eastAsia="宋体" w:hAnsi="宋体" w:cs="宋体"/>
                <w:w w:val="90"/>
                <w:kern w:val="0"/>
                <w:szCs w:val="21"/>
              </w:rPr>
            </w:pPr>
            <w:r w:rsidRPr="003D38D3">
              <w:rPr>
                <w:rFonts w:hint="eastAsia"/>
              </w:rPr>
              <w:t>—</w:t>
            </w:r>
          </w:p>
        </w:tc>
        <w:tc>
          <w:tcPr>
            <w:tcW w:w="895" w:type="dxa"/>
            <w:shd w:val="clear" w:color="auto" w:fill="auto"/>
            <w:vAlign w:val="center"/>
          </w:tcPr>
          <w:p w14:paraId="434FB554" w14:textId="77777777" w:rsidR="00E65D8C" w:rsidRDefault="00E65D8C" w:rsidP="00E65D8C">
            <w:pPr>
              <w:jc w:val="center"/>
            </w:pPr>
            <w:r>
              <w:rPr>
                <w:rFonts w:ascii="宋体" w:eastAsia="宋体" w:hAnsi="宋体" w:cs="宋体" w:hint="eastAsia"/>
                <w:kern w:val="0"/>
                <w:szCs w:val="21"/>
              </w:rPr>
              <w:t>预期性</w:t>
            </w:r>
          </w:p>
        </w:tc>
      </w:tr>
      <w:tr w:rsidR="00E65D8C" w14:paraId="72542A48" w14:textId="77777777" w:rsidTr="00E65D8C">
        <w:trPr>
          <w:trHeight w:hRule="exact" w:val="567"/>
          <w:jc w:val="center"/>
        </w:trPr>
        <w:tc>
          <w:tcPr>
            <w:tcW w:w="647" w:type="dxa"/>
            <w:vAlign w:val="center"/>
          </w:tcPr>
          <w:p w14:paraId="7795BD12" w14:textId="77777777" w:rsidR="00E65D8C" w:rsidRDefault="00E65D8C" w:rsidP="00E65D8C">
            <w:pPr>
              <w:widowControl/>
              <w:snapToGrid w:val="0"/>
              <w:jc w:val="center"/>
              <w:rPr>
                <w:rFonts w:ascii="宋体" w:eastAsia="宋体" w:hAnsi="宋体" w:cs="宋体"/>
                <w:b/>
                <w:bCs/>
                <w:kern w:val="0"/>
                <w:szCs w:val="21"/>
              </w:rPr>
            </w:pPr>
            <w:r>
              <w:rPr>
                <w:rFonts w:ascii="宋体" w:eastAsia="宋体" w:hAnsi="宋体" w:cs="宋体"/>
                <w:b/>
                <w:bCs/>
                <w:kern w:val="0"/>
                <w:szCs w:val="21"/>
              </w:rPr>
              <w:t>20</w:t>
            </w:r>
          </w:p>
        </w:tc>
        <w:tc>
          <w:tcPr>
            <w:tcW w:w="709" w:type="dxa"/>
            <w:vMerge/>
            <w:shd w:val="clear" w:color="auto" w:fill="auto"/>
            <w:vAlign w:val="center"/>
          </w:tcPr>
          <w:p w14:paraId="46836063" w14:textId="77777777" w:rsidR="00E65D8C" w:rsidRDefault="00E65D8C" w:rsidP="00E65D8C">
            <w:pPr>
              <w:widowControl/>
              <w:snapToGrid w:val="0"/>
              <w:jc w:val="center"/>
              <w:rPr>
                <w:rFonts w:ascii="宋体" w:eastAsia="宋体" w:hAnsi="宋体" w:cs="宋体"/>
                <w:b/>
                <w:bCs/>
                <w:kern w:val="0"/>
                <w:szCs w:val="21"/>
              </w:rPr>
            </w:pPr>
          </w:p>
        </w:tc>
        <w:tc>
          <w:tcPr>
            <w:tcW w:w="3970" w:type="dxa"/>
            <w:shd w:val="clear" w:color="auto" w:fill="auto"/>
            <w:vAlign w:val="center"/>
          </w:tcPr>
          <w:p w14:paraId="391591C1" w14:textId="77777777" w:rsidR="00E65D8C" w:rsidRDefault="00E65D8C" w:rsidP="00E65D8C">
            <w:pPr>
              <w:widowControl/>
              <w:snapToGrid w:val="0"/>
              <w:jc w:val="left"/>
              <w:rPr>
                <w:rFonts w:ascii="宋体" w:eastAsia="宋体" w:hAnsi="宋体" w:cs="宋体"/>
                <w:kern w:val="0"/>
                <w:szCs w:val="21"/>
              </w:rPr>
            </w:pPr>
            <w:r>
              <w:rPr>
                <w:rFonts w:ascii="宋体" w:eastAsia="宋体" w:hAnsi="宋体" w:cs="宋体" w:hint="eastAsia"/>
                <w:kern w:val="0"/>
                <w:szCs w:val="21"/>
              </w:rPr>
              <w:t>能源综合生产能力（万吨标煤）</w:t>
            </w:r>
          </w:p>
        </w:tc>
        <w:tc>
          <w:tcPr>
            <w:tcW w:w="993" w:type="dxa"/>
            <w:shd w:val="clear" w:color="auto" w:fill="auto"/>
            <w:vAlign w:val="center"/>
          </w:tcPr>
          <w:p w14:paraId="0B856026" w14:textId="77777777" w:rsidR="00E65D8C" w:rsidRDefault="003F2A5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4</w:t>
            </w:r>
            <w:r>
              <w:rPr>
                <w:rFonts w:ascii="宋体" w:eastAsia="宋体" w:hAnsi="宋体" w:cs="宋体"/>
                <w:kern w:val="0"/>
                <w:szCs w:val="21"/>
              </w:rPr>
              <w:t>3.8</w:t>
            </w:r>
          </w:p>
        </w:tc>
        <w:tc>
          <w:tcPr>
            <w:tcW w:w="990" w:type="dxa"/>
            <w:shd w:val="clear" w:color="auto" w:fill="auto"/>
            <w:vAlign w:val="center"/>
          </w:tcPr>
          <w:p w14:paraId="16C64CC7" w14:textId="77777777" w:rsidR="00E65D8C" w:rsidRDefault="003F2A5C" w:rsidP="00E65D8C">
            <w:pPr>
              <w:widowControl/>
              <w:snapToGrid w:val="0"/>
              <w:jc w:val="center"/>
              <w:rPr>
                <w:rFonts w:ascii="宋体" w:eastAsia="宋体" w:hAnsi="宋体" w:cs="宋体"/>
                <w:kern w:val="0"/>
                <w:szCs w:val="21"/>
              </w:rPr>
            </w:pPr>
            <w:r>
              <w:rPr>
                <w:rFonts w:ascii="宋体" w:eastAsia="宋体" w:hAnsi="宋体" w:cs="宋体" w:hint="eastAsia"/>
                <w:kern w:val="0"/>
                <w:szCs w:val="21"/>
              </w:rPr>
              <w:t>7</w:t>
            </w:r>
            <w:r>
              <w:rPr>
                <w:rFonts w:ascii="宋体" w:eastAsia="宋体" w:hAnsi="宋体" w:cs="宋体"/>
                <w:kern w:val="0"/>
                <w:szCs w:val="21"/>
              </w:rPr>
              <w:t>1.5</w:t>
            </w:r>
          </w:p>
        </w:tc>
        <w:tc>
          <w:tcPr>
            <w:tcW w:w="828" w:type="dxa"/>
            <w:shd w:val="clear" w:color="auto" w:fill="auto"/>
            <w:vAlign w:val="center"/>
          </w:tcPr>
          <w:p w14:paraId="507C1FE5" w14:textId="77777777" w:rsidR="00E65D8C" w:rsidRDefault="00E65D8C" w:rsidP="00E65D8C">
            <w:pPr>
              <w:widowControl/>
              <w:snapToGrid w:val="0"/>
              <w:jc w:val="center"/>
              <w:rPr>
                <w:rFonts w:ascii="宋体" w:eastAsia="宋体" w:hAnsi="宋体" w:cs="宋体"/>
                <w:w w:val="90"/>
                <w:kern w:val="0"/>
                <w:szCs w:val="21"/>
              </w:rPr>
            </w:pPr>
            <w:r w:rsidRPr="003D38D3">
              <w:rPr>
                <w:rFonts w:hint="eastAsia"/>
              </w:rPr>
              <w:t>—</w:t>
            </w:r>
          </w:p>
        </w:tc>
        <w:tc>
          <w:tcPr>
            <w:tcW w:w="895" w:type="dxa"/>
            <w:shd w:val="clear" w:color="auto" w:fill="auto"/>
            <w:vAlign w:val="center"/>
          </w:tcPr>
          <w:p w14:paraId="44E07779" w14:textId="77777777" w:rsidR="00E65D8C" w:rsidRDefault="00E65D8C" w:rsidP="00E65D8C">
            <w:pPr>
              <w:jc w:val="center"/>
              <w:rPr>
                <w:rFonts w:ascii="宋体" w:eastAsia="宋体" w:hAnsi="宋体" w:cs="宋体"/>
                <w:kern w:val="0"/>
                <w:szCs w:val="21"/>
              </w:rPr>
            </w:pPr>
            <w:r>
              <w:rPr>
                <w:rFonts w:ascii="宋体" w:eastAsia="宋体" w:hAnsi="宋体" w:cs="宋体" w:hint="eastAsia"/>
                <w:kern w:val="0"/>
                <w:szCs w:val="21"/>
              </w:rPr>
              <w:t>预期性</w:t>
            </w:r>
          </w:p>
        </w:tc>
      </w:tr>
    </w:tbl>
    <w:p w14:paraId="21E6F761" w14:textId="77777777" w:rsidR="00501569" w:rsidRDefault="00C74794" w:rsidP="0045498C">
      <w:pPr>
        <w:spacing w:beforeLines="50" w:before="156"/>
        <w:ind w:firstLineChars="200" w:firstLine="640"/>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Cs/>
          <w:sz w:val="32"/>
          <w:szCs w:val="32"/>
        </w:rPr>
        <w:t>展望</w:t>
      </w:r>
      <w:r w:rsidR="00B405FE">
        <w:rPr>
          <w:rFonts w:ascii="仿宋_GB2312" w:eastAsia="仿宋_GB2312" w:hAnsi="仿宋_GB2312" w:cs="仿宋_GB2312" w:hint="eastAsia"/>
          <w:bCs/>
          <w:sz w:val="32"/>
          <w:szCs w:val="32"/>
        </w:rPr>
        <w:t>2</w:t>
      </w:r>
      <w:r w:rsidR="00B405FE">
        <w:rPr>
          <w:rFonts w:ascii="仿宋_GB2312" w:eastAsia="仿宋_GB2312" w:hAnsi="仿宋_GB2312" w:cs="仿宋_GB2312"/>
          <w:bCs/>
          <w:sz w:val="32"/>
          <w:szCs w:val="32"/>
        </w:rPr>
        <w:t>035</w:t>
      </w:r>
      <w:r>
        <w:rPr>
          <w:rFonts w:ascii="仿宋_GB2312" w:eastAsia="仿宋_GB2312" w:hAnsi="仿宋_GB2312" w:cs="仿宋_GB2312" w:hint="eastAsia"/>
          <w:bCs/>
          <w:sz w:val="32"/>
          <w:szCs w:val="32"/>
        </w:rPr>
        <w:t>年，公主岭市在实现全面振兴全方位振兴的基础上，与全国同步基本实现社会主义现代化，形成营商环境好、创新能力强、生态环境优、发展活力足的现代化新局面；经济实力大幅跃升，地区生产总值力争实现翻番，向千亿级水平迈进；城乡居民收入同步实现翻番，城乡区域发展</w:t>
      </w:r>
      <w:r>
        <w:rPr>
          <w:rFonts w:ascii="仿宋_GB2312" w:eastAsia="仿宋_GB2312" w:hAnsi="仿宋_GB2312" w:cs="仿宋_GB2312" w:hint="eastAsia"/>
          <w:bCs/>
          <w:sz w:val="32"/>
          <w:szCs w:val="32"/>
        </w:rPr>
        <w:lastRenderedPageBreak/>
        <w:t>差距和居民生活水平差距显著缩小，基本公共服务实现均等化；同步实现新型工业化、信息化、城镇化、农业农村现代化，支撑现代化发展的市场体系、产业体系、城乡区域发展体系、绿色发展体系、全面开放体系、民生保障体系更加健全；广泛形成绿色生产生活方式，生态环境持续好转，国土空间开发保护质量和效率显著提升；基本实现治理体系和治理能力现代化，人民平等参与、平等发展权利得到充分保障，经济社会发展在法治轨道上顺畅稳健运行，国民素质和社会文明程度达到新高度；人民生活更加美好，社会更加和谐稳定，人的全面发展、全体人民共同富裕取得更为明显的实质性进展。</w:t>
      </w:r>
    </w:p>
    <w:p w14:paraId="34AD1B62" w14:textId="77777777" w:rsidR="00501569" w:rsidRDefault="00C74794" w:rsidP="0045498C">
      <w:pPr>
        <w:spacing w:beforeLines="50" w:before="156" w:afterLines="50" w:after="156"/>
        <w:jc w:val="center"/>
        <w:outlineLvl w:val="0"/>
        <w:rPr>
          <w:rFonts w:ascii="黑体" w:eastAsia="黑体" w:hAnsi="黑体"/>
          <w:spacing w:val="-20"/>
          <w:sz w:val="32"/>
          <w:szCs w:val="32"/>
        </w:rPr>
      </w:pPr>
      <w:bookmarkStart w:id="13" w:name="_Toc9631"/>
      <w:bookmarkStart w:id="14" w:name="_Toc56584419"/>
      <w:bookmarkStart w:id="15" w:name="_Toc21385"/>
      <w:r>
        <w:rPr>
          <w:rFonts w:ascii="黑体" w:eastAsia="黑体" w:hAnsi="黑体" w:hint="eastAsia"/>
          <w:sz w:val="32"/>
          <w:szCs w:val="32"/>
        </w:rPr>
        <w:t xml:space="preserve">第二章 </w:t>
      </w:r>
      <w:r>
        <w:rPr>
          <w:rFonts w:ascii="黑体" w:eastAsia="黑体" w:hAnsi="黑体" w:hint="eastAsia"/>
          <w:spacing w:val="-20"/>
          <w:sz w:val="32"/>
          <w:szCs w:val="32"/>
        </w:rPr>
        <w:t>优化区域布局，全面建设长春现代化都市圈</w:t>
      </w:r>
      <w:r>
        <w:rPr>
          <w:rFonts w:ascii="黑体" w:eastAsia="黑体" w:hAnsi="黑体" w:cs="黑体" w:hint="eastAsia"/>
          <w:color w:val="000000" w:themeColor="text1"/>
          <w:spacing w:val="-20"/>
          <w:sz w:val="32"/>
          <w:szCs w:val="32"/>
        </w:rPr>
        <w:t>新型中等城市</w:t>
      </w:r>
      <w:bookmarkEnd w:id="13"/>
    </w:p>
    <w:p w14:paraId="70003B97" w14:textId="77777777" w:rsidR="00501569" w:rsidRDefault="00C74794">
      <w:pPr>
        <w:ind w:firstLine="66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对接长春现代化都市圈建设，以“六大产业”为主体，坚持“大板块、小组团、多功能单元”精细化布局，实施“点上突破、线上隆起、面上提升”网络化策略，全力推进“一城提升、一区引领、两板同创、两带同构”协同发展，促进各类资源要素高效流动，加强产业企业项目集群集聚，实现各区域各版块差异化协同化集约化发展。</w:t>
      </w:r>
    </w:p>
    <w:p w14:paraId="53FB0A83" w14:textId="77777777" w:rsidR="00501569" w:rsidRPr="007F02F9"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16" w:name="_Toc15816"/>
      <w:r w:rsidRPr="007F02F9">
        <w:rPr>
          <w:rFonts w:ascii="楷体_GB2312" w:eastAsia="楷体_GB2312" w:hAnsi="楷体_GB2312" w:cs="楷体_GB2312" w:hint="eastAsia"/>
          <w:b/>
          <w:sz w:val="32"/>
          <w:szCs w:val="32"/>
        </w:rPr>
        <w:t>第一节 提升中心城区能级</w:t>
      </w:r>
      <w:bookmarkEnd w:id="16"/>
    </w:p>
    <w:p w14:paraId="60CF2AC4" w14:textId="77777777" w:rsidR="00501569" w:rsidRDefault="00C74794">
      <w:pPr>
        <w:ind w:firstLine="66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以公主岭国家新型城镇化示范县城建设为依托，实施城市更新行动，加快品质提升、价值提升、特色提升，全面提</w:t>
      </w:r>
      <w:r>
        <w:rPr>
          <w:rFonts w:ascii="仿宋_GB2312" w:eastAsia="仿宋_GB2312" w:hAnsi="仿宋_GB2312" w:cs="仿宋_GB2312" w:hint="eastAsia"/>
          <w:bCs/>
          <w:color w:val="000000"/>
          <w:sz w:val="32"/>
          <w:szCs w:val="32"/>
        </w:rPr>
        <w:lastRenderedPageBreak/>
        <w:t>升城市功能、综合承载能力和经济人口集聚程度，建设长春现代化都市圈新型中等城市。</w:t>
      </w:r>
    </w:p>
    <w:p w14:paraId="06A87F9E" w14:textId="77777777" w:rsidR="00501569" w:rsidRDefault="00C74794" w:rsidP="00951CDE">
      <w:pPr>
        <w:pBdr>
          <w:bottom w:val="single" w:sz="4" w:space="19" w:color="FFFFFF"/>
        </w:pBdr>
        <w:tabs>
          <w:tab w:val="left" w:pos="1440"/>
        </w:tabs>
        <w:ind w:firstLineChars="200" w:firstLine="643"/>
        <w:rPr>
          <w:rFonts w:ascii="仿宋_GB2312" w:eastAsia="仿宋_GB2312" w:hAnsi="仿宋_GB2312" w:cs="仿宋_GB2312"/>
          <w:bCs/>
          <w:color w:val="000000"/>
          <w:sz w:val="32"/>
          <w:szCs w:val="32"/>
        </w:rPr>
      </w:pPr>
      <w:r>
        <w:rPr>
          <w:rFonts w:ascii="仿宋_GB2312" w:eastAsia="仿宋_GB2312" w:hAnsi="仿宋_GB2312" w:cs="仿宋_GB2312" w:hint="eastAsia"/>
          <w:b/>
          <w:bCs/>
          <w:color w:val="000000"/>
          <w:sz w:val="32"/>
          <w:szCs w:val="32"/>
        </w:rPr>
        <w:t>推进公共服务设施提标扩面。</w:t>
      </w:r>
      <w:r>
        <w:rPr>
          <w:rFonts w:ascii="仿宋_GB2312" w:eastAsia="仿宋_GB2312" w:hAnsi="仿宋_GB2312" w:cs="仿宋_GB2312" w:hint="eastAsia"/>
          <w:bCs/>
          <w:color w:val="000000"/>
          <w:sz w:val="32"/>
          <w:szCs w:val="32"/>
        </w:rPr>
        <w:t>健全医疗卫生设施，加强区域和跨区域医联体建设，推动与长春市高水平医院开展合作互助，引进长春市优质医疗资源</w:t>
      </w:r>
      <w:r w:rsidR="00507682">
        <w:rPr>
          <w:rFonts w:ascii="仿宋_GB2312" w:eastAsia="仿宋_GB2312" w:hAnsi="仿宋_GB2312" w:cs="仿宋_GB2312" w:hint="eastAsia"/>
          <w:bCs/>
          <w:color w:val="000000"/>
          <w:sz w:val="32"/>
          <w:szCs w:val="32"/>
        </w:rPr>
        <w:t>，</w:t>
      </w:r>
      <w:r>
        <w:rPr>
          <w:rFonts w:ascii="仿宋_GB2312" w:eastAsia="仿宋_GB2312" w:hAnsi="仿宋_GB2312" w:cs="仿宋_GB2312" w:hint="eastAsia"/>
          <w:bCs/>
          <w:color w:val="000000"/>
          <w:sz w:val="32"/>
          <w:szCs w:val="32"/>
        </w:rPr>
        <w:t>共同推进医疗设施资源共享。完善教育设施，按照义务教育学校基本办学标准和城区常住人口规模，合理配置教育资源，打造铁北生态教育园区。发展文旅体育设施，改造老旧文化街区、商业步行街和老旧厂区等公共设施，推进文体服务中心建设。</w:t>
      </w:r>
    </w:p>
    <w:p w14:paraId="09347EC8" w14:textId="77777777" w:rsidR="00501569" w:rsidRDefault="00C74794" w:rsidP="00951CDE">
      <w:pPr>
        <w:pBdr>
          <w:bottom w:val="single" w:sz="4" w:space="19" w:color="FFFFFF"/>
        </w:pBdr>
        <w:tabs>
          <w:tab w:val="left" w:pos="1440"/>
        </w:tabs>
        <w:spacing w:line="360" w:lineRule="auto"/>
        <w:ind w:firstLineChars="200" w:firstLine="643"/>
        <w:rPr>
          <w:rFonts w:ascii="仿宋_GB2312" w:eastAsia="仿宋_GB2312" w:hAnsi="仿宋_GB2312" w:cs="仿宋_GB2312"/>
          <w:color w:val="000000"/>
          <w:kern w:val="0"/>
          <w:sz w:val="32"/>
          <w:szCs w:val="32"/>
        </w:rPr>
      </w:pPr>
      <w:r>
        <w:rPr>
          <w:rFonts w:ascii="仿宋_GB2312" w:eastAsia="仿宋_GB2312" w:hAnsi="仿宋_GB2312" w:cs="仿宋_GB2312" w:hint="eastAsia"/>
          <w:b/>
          <w:bCs/>
          <w:color w:val="000000"/>
          <w:sz w:val="32"/>
          <w:szCs w:val="32"/>
        </w:rPr>
        <w:t>强化公用设施提挡升级。</w:t>
      </w:r>
      <w:r>
        <w:rPr>
          <w:rFonts w:ascii="仿宋_GB2312" w:eastAsia="仿宋_GB2312" w:hAnsi="仿宋_GB2312" w:cs="仿宋_GB2312" w:hint="eastAsia"/>
          <w:color w:val="000000"/>
          <w:sz w:val="32"/>
          <w:szCs w:val="32"/>
        </w:rPr>
        <w:t>优化市政交通设施，建设城市慢行系统，完善机动车道、非机动车道、人行道“三行系统”，建设市综合客运枢纽，优化公交线网以及公交站点布局</w:t>
      </w:r>
      <w:r>
        <w:rPr>
          <w:rFonts w:ascii="仿宋_GB2312" w:eastAsia="仿宋_GB2312" w:hAnsi="仿宋_GB2312" w:cs="仿宋_GB2312" w:hint="eastAsia"/>
          <w:sz w:val="32"/>
          <w:szCs w:val="32"/>
        </w:rPr>
        <w:t>，建设公共停车场，缓解停车难问题。完善市政管网设施，推进城区排水防涝改造，</w:t>
      </w:r>
      <w:r>
        <w:rPr>
          <w:rFonts w:ascii="仿宋_GB2312" w:eastAsia="仿宋_GB2312" w:hAnsi="仿宋_GB2312" w:cs="仿宋_GB2312" w:hint="eastAsia"/>
          <w:color w:val="000000"/>
          <w:kern w:val="0"/>
          <w:sz w:val="32"/>
          <w:szCs w:val="32"/>
        </w:rPr>
        <w:t>构建城市防洪除涝排水工程体系。实施“气化公主岭”工程，增强天然气供应和应急保障能力，</w:t>
      </w:r>
      <w:r>
        <w:rPr>
          <w:rFonts w:ascii="仿宋_GB2312" w:eastAsia="仿宋_GB2312" w:hAnsi="仿宋_GB2312" w:cs="仿宋_GB2312" w:hint="eastAsia"/>
          <w:sz w:val="32"/>
          <w:szCs w:val="32"/>
        </w:rPr>
        <w:t>打造保障有力的城市“生命线”。</w:t>
      </w:r>
      <w:r>
        <w:rPr>
          <w:rFonts w:ascii="仿宋_GB2312" w:eastAsia="仿宋_GB2312" w:hAnsi="仿宋_GB2312" w:cs="仿宋_GB2312" w:hint="eastAsia"/>
          <w:color w:val="000000"/>
          <w:sz w:val="32"/>
          <w:szCs w:val="32"/>
        </w:rPr>
        <w:t>推动老旧小区更新改造，完善水电气路信等配套基础设施、便民市场等公用设施。</w:t>
      </w:r>
      <w:r>
        <w:rPr>
          <w:rFonts w:ascii="仿宋_GB2312" w:eastAsia="仿宋_GB2312" w:hAnsi="仿宋_GB2312" w:cs="仿宋_GB2312" w:hint="eastAsia"/>
          <w:color w:val="000000"/>
          <w:kern w:val="0"/>
          <w:sz w:val="32"/>
          <w:szCs w:val="32"/>
        </w:rPr>
        <w:t>开展城市拆违攻坚，加强市容市貌维护管理，提升城市形象和品味。</w:t>
      </w:r>
    </w:p>
    <w:p w14:paraId="3DF082D7" w14:textId="77777777" w:rsidR="00501569" w:rsidRDefault="00C74794" w:rsidP="00951CDE">
      <w:pPr>
        <w:pBdr>
          <w:bottom w:val="single" w:sz="4" w:space="19" w:color="FFFFFF"/>
        </w:pBdr>
        <w:tabs>
          <w:tab w:val="left" w:pos="1440"/>
        </w:tabs>
        <w:spacing w:line="360" w:lineRule="auto"/>
        <w:ind w:firstLineChars="200" w:firstLine="643"/>
        <w:rPr>
          <w:rFonts w:ascii="仿宋_GB2312" w:eastAsia="仿宋_GB2312" w:hAnsi="仿宋_GB2312" w:cs="仿宋_GB2312"/>
          <w:color w:val="000000"/>
          <w:kern w:val="0"/>
          <w:sz w:val="32"/>
          <w:szCs w:val="32"/>
        </w:rPr>
      </w:pPr>
      <w:r>
        <w:rPr>
          <w:rFonts w:ascii="仿宋_GB2312" w:eastAsia="仿宋_GB2312" w:hAnsi="仿宋_GB2312" w:cs="仿宋_GB2312" w:hint="eastAsia"/>
          <w:b/>
          <w:bCs/>
          <w:sz w:val="32"/>
          <w:szCs w:val="32"/>
        </w:rPr>
        <w:t>加强城市卫生环境提级扩能。</w:t>
      </w:r>
      <w:r>
        <w:rPr>
          <w:rFonts w:ascii="仿宋_GB2312" w:eastAsia="仿宋_GB2312" w:hAnsi="仿宋_GB2312" w:cs="仿宋_GB2312" w:hint="eastAsia"/>
          <w:sz w:val="32"/>
          <w:szCs w:val="32"/>
        </w:rPr>
        <w:t>健全垃圾无害化处理设施，</w:t>
      </w:r>
      <w:r>
        <w:rPr>
          <w:rFonts w:ascii="仿宋_GB2312" w:eastAsia="仿宋_GB2312" w:hAnsi="仿宋_GB2312" w:cs="仿宋_GB2312" w:hint="eastAsia"/>
          <w:color w:val="000000"/>
          <w:sz w:val="32"/>
          <w:szCs w:val="32"/>
        </w:rPr>
        <w:t>全面推进生活垃圾分类，建立分类投放、分类收集、分类运输、分类处理的垃圾处理系统，</w:t>
      </w:r>
      <w:r>
        <w:rPr>
          <w:rFonts w:ascii="仿宋_GB2312" w:eastAsia="仿宋_GB2312" w:hAnsi="仿宋_GB2312" w:cs="仿宋_GB2312" w:hint="eastAsia"/>
          <w:sz w:val="32"/>
          <w:szCs w:val="32"/>
        </w:rPr>
        <w:t>加快改造城区街道、社区、小区三级垃圾房和转运站设施，完善生活垃圾收运体系。强</w:t>
      </w:r>
      <w:r>
        <w:rPr>
          <w:rFonts w:ascii="仿宋_GB2312" w:eastAsia="仿宋_GB2312" w:hAnsi="仿宋_GB2312" w:cs="仿宋_GB2312" w:hint="eastAsia"/>
          <w:sz w:val="32"/>
          <w:szCs w:val="32"/>
        </w:rPr>
        <w:lastRenderedPageBreak/>
        <w:t>化污水集中处理设施建设，改造提升城区污水管网，推动建设中水回用项目，加快污泥无害化资源化处理设施建设。改善城市公共厕所，按照标准改造和配建固定公共厕所或移动式公厕，合理增加无障碍厕位和第三卫生间，利用节能环保技术配置除臭设施，推动城市卫生环境建设，争创卫生城。</w:t>
      </w:r>
    </w:p>
    <w:p w14:paraId="4ED8572F" w14:textId="77777777" w:rsidR="00501569" w:rsidRDefault="00C74794" w:rsidP="00951CDE">
      <w:pPr>
        <w:pBdr>
          <w:bottom w:val="single" w:sz="4" w:space="19" w:color="FFFFFF"/>
        </w:pBdr>
        <w:tabs>
          <w:tab w:val="left" w:pos="1440"/>
        </w:tabs>
        <w:ind w:firstLineChars="200" w:firstLine="643"/>
        <w:rPr>
          <w:rFonts w:ascii="仿宋_GB2312" w:eastAsia="仿宋_GB2312"/>
          <w:sz w:val="32"/>
          <w:szCs w:val="32"/>
        </w:rPr>
      </w:pPr>
      <w:r>
        <w:rPr>
          <w:rFonts w:ascii="仿宋_GB2312" w:eastAsia="仿宋_GB2312" w:hAnsi="仿宋_GB2312" w:cs="仿宋_GB2312" w:hint="eastAsia"/>
          <w:b/>
          <w:bCs/>
          <w:sz w:val="32"/>
          <w:szCs w:val="32"/>
        </w:rPr>
        <w:t>推动产业培育提质增效</w:t>
      </w:r>
      <w:r>
        <w:rPr>
          <w:rFonts w:ascii="仿宋_GB2312" w:eastAsia="仿宋_GB2312" w:hAnsi="仿宋_GB2312" w:cs="仿宋_GB2312" w:hint="eastAsia"/>
          <w:b/>
          <w:bCs/>
          <w:color w:val="000000"/>
          <w:kern w:val="0"/>
          <w:sz w:val="32"/>
          <w:szCs w:val="32"/>
        </w:rPr>
        <w:t>。</w:t>
      </w:r>
      <w:r>
        <w:rPr>
          <w:rFonts w:ascii="仿宋_GB2312" w:eastAsia="仿宋_GB2312" w:hAnsi="仿宋_GB2312" w:cs="仿宋_GB2312" w:hint="eastAsia"/>
          <w:color w:val="000000"/>
          <w:kern w:val="0"/>
          <w:sz w:val="32"/>
          <w:szCs w:val="32"/>
        </w:rPr>
        <w:t>打造建设产业平台，</w:t>
      </w:r>
      <w:r>
        <w:rPr>
          <w:rFonts w:ascii="仿宋_GB2312" w:eastAsia="仿宋_GB2312" w:hAnsi="仿宋_GB2312" w:cs="仿宋_GB2312" w:hint="eastAsia"/>
          <w:sz w:val="32"/>
          <w:szCs w:val="32"/>
        </w:rPr>
        <w:t>依托岭东工业集中区，着力引进食品加工、医药化工、现代农业等大企业和大项目，</w:t>
      </w:r>
      <w:r>
        <w:rPr>
          <w:rFonts w:ascii="仿宋_GB2312" w:eastAsia="仿宋_GB2312" w:hint="eastAsia"/>
          <w:sz w:val="32"/>
          <w:szCs w:val="32"/>
        </w:rPr>
        <w:t>促进产业集群集聚发展；建设岭西新城服务业集聚区，打造集中央商务区、金融街、教育组团、医院组团为一体的服务业集聚区。提升城市服务功能，推进冷链物流设施建设，因地制宜推进农贸市场改造、迁建和新建。</w:t>
      </w:r>
    </w:p>
    <w:tbl>
      <w:tblPr>
        <w:tblStyle w:val="af0"/>
        <w:tblW w:w="8522" w:type="dxa"/>
        <w:tblLayout w:type="fixed"/>
        <w:tblLook w:val="04A0" w:firstRow="1" w:lastRow="0" w:firstColumn="1" w:lastColumn="0" w:noHBand="0" w:noVBand="1"/>
      </w:tblPr>
      <w:tblGrid>
        <w:gridCol w:w="8522"/>
      </w:tblGrid>
      <w:tr w:rsidR="00501569" w14:paraId="6928B7A7" w14:textId="77777777">
        <w:tc>
          <w:tcPr>
            <w:tcW w:w="8522" w:type="dxa"/>
          </w:tcPr>
          <w:p w14:paraId="5C958130" w14:textId="77777777" w:rsidR="00501569" w:rsidRDefault="00C74794" w:rsidP="0045498C">
            <w:pPr>
              <w:adjustRightInd w:val="0"/>
              <w:snapToGrid w:val="0"/>
              <w:spacing w:beforeLines="25" w:before="78" w:line="360" w:lineRule="auto"/>
              <w:jc w:val="center"/>
              <w:rPr>
                <w:rFonts w:ascii="楷体_GB2312" w:eastAsia="楷体_GB2312" w:hAnsi="楷体_GB2312" w:cs="楷体_GB2312"/>
                <w:b/>
                <w:sz w:val="28"/>
                <w:szCs w:val="28"/>
              </w:rPr>
            </w:pPr>
            <w:r>
              <w:rPr>
                <w:rFonts w:ascii="楷体_GB2312" w:eastAsia="楷体_GB2312" w:hAnsi="楷体_GB2312" w:cs="楷体_GB2312"/>
                <w:b/>
                <w:sz w:val="28"/>
                <w:szCs w:val="28"/>
              </w:rPr>
              <w:t>专栏</w:t>
            </w:r>
            <w:r w:rsidRPr="006403B9">
              <w:rPr>
                <w:rFonts w:ascii="楷体_GB2312" w:eastAsia="楷体_GB2312" w:hAnsi="楷体_GB2312" w:cs="楷体_GB2312"/>
                <w:b/>
                <w:sz w:val="28"/>
                <w:szCs w:val="28"/>
              </w:rPr>
              <w:t>2</w:t>
            </w:r>
            <w:r w:rsidR="006403B9" w:rsidRPr="006403B9">
              <w:rPr>
                <w:rFonts w:ascii="微软雅黑" w:eastAsia="微软雅黑" w:hAnsi="微软雅黑" w:cs="微软雅黑" w:hint="eastAsia"/>
                <w:b/>
                <w:sz w:val="28"/>
                <w:szCs w:val="28"/>
              </w:rPr>
              <w:t>：</w:t>
            </w:r>
            <w:r>
              <w:rPr>
                <w:rFonts w:ascii="楷体_GB2312" w:eastAsia="楷体_GB2312" w:hAnsi="楷体_GB2312" w:cs="楷体_GB2312" w:hint="eastAsia"/>
                <w:b/>
                <w:sz w:val="28"/>
                <w:szCs w:val="28"/>
              </w:rPr>
              <w:t>县城城镇化示范</w:t>
            </w:r>
            <w:r>
              <w:rPr>
                <w:rFonts w:ascii="楷体_GB2312" w:eastAsia="楷体_GB2312" w:hAnsi="楷体_GB2312" w:cs="楷体_GB2312"/>
                <w:b/>
                <w:sz w:val="28"/>
                <w:szCs w:val="28"/>
              </w:rPr>
              <w:t>重点项目</w:t>
            </w:r>
          </w:p>
          <w:p w14:paraId="6E89E37B" w14:textId="77777777" w:rsidR="00501569" w:rsidRDefault="00C74794">
            <w:pPr>
              <w:adjustRightInd w:val="0"/>
              <w:snapToGrid w:val="0"/>
              <w:spacing w:line="360" w:lineRule="auto"/>
              <w:ind w:firstLineChars="200" w:firstLine="422"/>
              <w:rPr>
                <w:rFonts w:ascii="宋体" w:eastAsia="宋体" w:hAnsi="宋体"/>
                <w:szCs w:val="21"/>
              </w:rPr>
            </w:pPr>
            <w:r>
              <w:rPr>
                <w:rFonts w:ascii="宋体" w:eastAsia="宋体" w:hAnsi="宋体"/>
                <w:b/>
              </w:rPr>
              <w:t>公主岭市中心医院异地新建项目</w:t>
            </w:r>
            <w:r>
              <w:rPr>
                <w:rFonts w:ascii="宋体" w:eastAsia="宋体" w:hAnsi="宋体" w:hint="eastAsia"/>
                <w:b/>
              </w:rPr>
              <w:t>:</w:t>
            </w:r>
            <w:r>
              <w:rPr>
                <w:rFonts w:ascii="宋体" w:eastAsia="宋体" w:hAnsi="宋体" w:hint="eastAsia"/>
              </w:rPr>
              <w:t xml:space="preserve"> 总投资</w:t>
            </w:r>
            <w:r w:rsidR="00DC2CFF">
              <w:rPr>
                <w:rFonts w:ascii="宋体" w:eastAsia="宋体" w:hAnsi="宋体"/>
              </w:rPr>
              <w:t>6</w:t>
            </w:r>
            <w:r>
              <w:rPr>
                <w:rFonts w:ascii="宋体" w:eastAsia="宋体" w:hAnsi="宋体" w:hint="eastAsia"/>
              </w:rPr>
              <w:t>亿元，主要建设急诊住院楼、地下停车场、传染</w:t>
            </w:r>
            <w:r>
              <w:rPr>
                <w:rFonts w:ascii="宋体" w:eastAsia="宋体" w:hAnsi="宋体" w:hint="eastAsia"/>
                <w:szCs w:val="21"/>
              </w:rPr>
              <w:t>病疗区、行政办公楼、后勤附属设施等。</w:t>
            </w:r>
          </w:p>
          <w:p w14:paraId="3AE8C5BE" w14:textId="77777777" w:rsidR="00501569" w:rsidRDefault="00C74794">
            <w:pPr>
              <w:adjustRightInd w:val="0"/>
              <w:snapToGrid w:val="0"/>
              <w:spacing w:line="360" w:lineRule="auto"/>
              <w:ind w:firstLineChars="200" w:firstLine="422"/>
              <w:rPr>
                <w:rFonts w:ascii="宋体" w:eastAsia="宋体" w:hAnsi="宋体" w:cs="仿宋"/>
                <w:szCs w:val="21"/>
              </w:rPr>
            </w:pPr>
            <w:r>
              <w:rPr>
                <w:rFonts w:ascii="宋体" w:eastAsia="宋体" w:hAnsi="宋体" w:cs="宋体"/>
                <w:b/>
                <w:szCs w:val="21"/>
              </w:rPr>
              <w:t>公主岭市解放路（639）公铁立交桥项目</w:t>
            </w:r>
            <w:r w:rsidR="006403B9">
              <w:rPr>
                <w:rFonts w:ascii="宋体" w:eastAsia="宋体" w:hAnsi="宋体" w:cs="宋体" w:hint="eastAsia"/>
                <w:b/>
                <w:szCs w:val="21"/>
              </w:rPr>
              <w:t>：</w:t>
            </w:r>
            <w:r>
              <w:rPr>
                <w:rFonts w:ascii="宋体" w:eastAsia="宋体" w:hAnsi="宋体" w:cs="仿宋" w:hint="eastAsia"/>
                <w:szCs w:val="21"/>
              </w:rPr>
              <w:t>总投资为2.25亿元，通过桥梁上跨方式跨越既有铁路，全长795m，采用双向四车道断面。</w:t>
            </w:r>
          </w:p>
          <w:p w14:paraId="0EF6DEC5" w14:textId="77777777" w:rsidR="00501569" w:rsidRDefault="00C74794">
            <w:pPr>
              <w:adjustRightInd w:val="0"/>
              <w:snapToGrid w:val="0"/>
              <w:spacing w:line="360" w:lineRule="auto"/>
              <w:ind w:firstLineChars="200" w:firstLine="422"/>
              <w:rPr>
                <w:rFonts w:ascii="宋体" w:eastAsia="宋体" w:hAnsi="宋体"/>
                <w:szCs w:val="21"/>
              </w:rPr>
            </w:pPr>
            <w:r>
              <w:rPr>
                <w:rFonts w:ascii="宋体" w:eastAsia="宋体" w:hAnsi="宋体" w:cs="宋体"/>
                <w:b/>
                <w:szCs w:val="21"/>
              </w:rPr>
              <w:t>公主岭市</w:t>
            </w:r>
            <w:r>
              <w:rPr>
                <w:rFonts w:ascii="宋体" w:eastAsia="宋体" w:hAnsi="宋体" w:cs="宋体" w:hint="eastAsia"/>
                <w:b/>
                <w:szCs w:val="21"/>
              </w:rPr>
              <w:t>文体服务中心</w:t>
            </w:r>
            <w:r>
              <w:rPr>
                <w:rFonts w:ascii="宋体" w:eastAsia="宋体" w:hAnsi="宋体" w:cs="宋体"/>
                <w:b/>
                <w:szCs w:val="21"/>
              </w:rPr>
              <w:t>建设项目</w:t>
            </w:r>
            <w:r w:rsidR="006403B9">
              <w:rPr>
                <w:rFonts w:ascii="宋体" w:eastAsia="宋体" w:hAnsi="宋体" w:cs="宋体" w:hint="eastAsia"/>
                <w:b/>
                <w:szCs w:val="21"/>
              </w:rPr>
              <w:t>：</w:t>
            </w:r>
            <w:r>
              <w:rPr>
                <w:rFonts w:ascii="宋体" w:eastAsia="宋体" w:hAnsi="宋体" w:hint="eastAsia"/>
                <w:szCs w:val="21"/>
              </w:rPr>
              <w:t>总投资</w:t>
            </w:r>
            <w:r w:rsidR="007C4A68">
              <w:rPr>
                <w:rFonts w:ascii="宋体" w:eastAsia="宋体" w:hAnsi="宋体"/>
                <w:szCs w:val="21"/>
              </w:rPr>
              <w:t>7</w:t>
            </w:r>
            <w:r>
              <w:rPr>
                <w:rFonts w:ascii="宋体" w:eastAsia="宋体" w:hAnsi="宋体" w:hint="eastAsia"/>
                <w:szCs w:val="21"/>
              </w:rPr>
              <w:t>亿元，</w:t>
            </w:r>
            <w:r w:rsidR="007C4A68">
              <w:rPr>
                <w:rFonts w:ascii="宋体" w:eastAsia="宋体" w:hAnsi="宋体" w:hint="eastAsia"/>
                <w:szCs w:val="21"/>
              </w:rPr>
              <w:t>占地1</w:t>
            </w:r>
            <w:r w:rsidR="007C4A68">
              <w:rPr>
                <w:rFonts w:ascii="宋体" w:eastAsia="宋体" w:hAnsi="宋体"/>
                <w:szCs w:val="21"/>
              </w:rPr>
              <w:t>6</w:t>
            </w:r>
            <w:r w:rsidR="007C4A68">
              <w:rPr>
                <w:rFonts w:ascii="宋体" w:eastAsia="宋体" w:hAnsi="宋体" w:hint="eastAsia"/>
                <w:szCs w:val="21"/>
              </w:rPr>
              <w:t>公顷，</w:t>
            </w:r>
            <w:r>
              <w:rPr>
                <w:rFonts w:ascii="宋体" w:eastAsia="宋体" w:hAnsi="宋体" w:hint="eastAsia"/>
                <w:szCs w:val="21"/>
              </w:rPr>
              <w:t>建设体育场、篮球馆、游泳馆、综合馆。篮球馆坐席6000坐席，游泳馆1500坐席，综合馆主要设计有乒乓球、羽毛球、卡丁车等几个分馆。</w:t>
            </w:r>
          </w:p>
          <w:p w14:paraId="2FCCEFC1" w14:textId="77777777" w:rsidR="00501569" w:rsidRDefault="00C74794">
            <w:pPr>
              <w:adjustRightInd w:val="0"/>
              <w:snapToGrid w:val="0"/>
              <w:spacing w:line="360" w:lineRule="auto"/>
              <w:ind w:firstLineChars="200" w:firstLine="422"/>
              <w:rPr>
                <w:rFonts w:ascii="宋体" w:eastAsia="宋体" w:hAnsi="宋体" w:cs="宋体"/>
                <w:b/>
                <w:szCs w:val="21"/>
              </w:rPr>
            </w:pPr>
            <w:r>
              <w:rPr>
                <w:rFonts w:ascii="宋体" w:eastAsia="宋体" w:hAnsi="宋体" w:cs="宋体"/>
                <w:b/>
                <w:szCs w:val="21"/>
              </w:rPr>
              <w:t>中合新农超国际城市农展中心及国际智慧农产品批发交易城项目</w:t>
            </w:r>
            <w:r>
              <w:rPr>
                <w:rFonts w:ascii="宋体" w:eastAsia="宋体" w:hAnsi="宋体" w:cs="宋体" w:hint="eastAsia"/>
                <w:b/>
                <w:szCs w:val="21"/>
              </w:rPr>
              <w:t>：</w:t>
            </w:r>
            <w:r>
              <w:rPr>
                <w:rFonts w:ascii="宋体" w:eastAsia="宋体" w:hAnsi="宋体" w:cs="Times New Roman" w:hint="eastAsia"/>
              </w:rPr>
              <w:t>总投资10亿元，本项目建设国际城市农展中心及国际智慧农产品批发交易城，以电子商务和实体配送为两翼格局</w:t>
            </w:r>
            <w:r>
              <w:rPr>
                <w:rFonts w:ascii="宋体" w:eastAsia="宋体" w:hAnsi="宋体" w:hint="eastAsia"/>
              </w:rPr>
              <w:t>的</w:t>
            </w:r>
            <w:r>
              <w:rPr>
                <w:rFonts w:ascii="宋体" w:eastAsia="宋体" w:hAnsi="宋体" w:cs="Times New Roman" w:hint="eastAsia"/>
              </w:rPr>
              <w:t>一体大型农超综合体。</w:t>
            </w:r>
          </w:p>
          <w:p w14:paraId="64167DD4" w14:textId="77777777" w:rsidR="007C4A68" w:rsidRDefault="007C4A68" w:rsidP="007C4A68">
            <w:pPr>
              <w:adjustRightInd w:val="0"/>
              <w:snapToGrid w:val="0"/>
              <w:spacing w:line="360" w:lineRule="auto"/>
              <w:ind w:firstLineChars="200" w:firstLine="422"/>
            </w:pPr>
            <w:r>
              <w:rPr>
                <w:rFonts w:ascii="宋体" w:eastAsia="宋体" w:hAnsi="宋体" w:cs="宋体"/>
                <w:b/>
                <w:szCs w:val="21"/>
              </w:rPr>
              <w:t>公主岭市污水回用（中水）项目</w:t>
            </w:r>
            <w:r>
              <w:rPr>
                <w:rFonts w:ascii="宋体" w:eastAsia="宋体" w:hAnsi="宋体" w:cs="宋体" w:hint="eastAsia"/>
                <w:b/>
                <w:szCs w:val="21"/>
              </w:rPr>
              <w:t>：</w:t>
            </w:r>
            <w:r>
              <w:rPr>
                <w:rFonts w:ascii="宋体" w:eastAsia="宋体" w:hAnsi="宋体" w:hint="eastAsia"/>
              </w:rPr>
              <w:t>总投资为2.15亿元，建设中水厂一座、</w:t>
            </w:r>
            <w:r>
              <w:rPr>
                <w:rFonts w:ascii="宋体" w:eastAsia="宋体" w:hAnsi="宋体"/>
              </w:rPr>
              <w:t>8944</w:t>
            </w:r>
            <w:r>
              <w:rPr>
                <w:rFonts w:ascii="宋体" w:eastAsia="宋体" w:hAnsi="宋体" w:hint="eastAsia"/>
              </w:rPr>
              <w:t>米长污水管道及相关配套工程等。</w:t>
            </w:r>
          </w:p>
          <w:p w14:paraId="4DE60921" w14:textId="77777777" w:rsidR="007C4A68" w:rsidRDefault="007C4A68" w:rsidP="007C4A68">
            <w:pPr>
              <w:adjustRightInd w:val="0"/>
              <w:snapToGrid w:val="0"/>
              <w:spacing w:line="360" w:lineRule="auto"/>
              <w:ind w:firstLineChars="200" w:firstLine="422"/>
              <w:rPr>
                <w:rFonts w:ascii="宋体" w:eastAsia="宋体" w:hAnsi="宋体" w:cs="宋体"/>
                <w:b/>
                <w:szCs w:val="21"/>
              </w:rPr>
            </w:pPr>
            <w:r>
              <w:rPr>
                <w:rFonts w:ascii="宋体" w:eastAsia="宋体" w:hAnsi="宋体" w:cs="宋体"/>
                <w:b/>
                <w:szCs w:val="21"/>
              </w:rPr>
              <w:t>公主岭市新建道路、桥梁工程项目</w:t>
            </w:r>
            <w:r>
              <w:rPr>
                <w:rFonts w:ascii="宋体" w:eastAsia="宋体" w:hAnsi="宋体" w:cs="宋体" w:hint="eastAsia"/>
                <w:b/>
                <w:szCs w:val="21"/>
              </w:rPr>
              <w:t>：</w:t>
            </w:r>
            <w:r>
              <w:rPr>
                <w:rFonts w:ascii="宋体" w:eastAsia="宋体" w:hAnsi="宋体" w:hint="eastAsia"/>
              </w:rPr>
              <w:t>总投资为5.</w:t>
            </w:r>
            <w:r w:rsidR="00BA7663">
              <w:rPr>
                <w:rFonts w:ascii="宋体" w:eastAsia="宋体" w:hAnsi="宋体"/>
              </w:rPr>
              <w:t>56</w:t>
            </w:r>
            <w:r>
              <w:rPr>
                <w:rFonts w:ascii="宋体" w:eastAsia="宋体" w:hAnsi="宋体" w:hint="eastAsia"/>
              </w:rPr>
              <w:t>亿元，包括</w:t>
            </w:r>
            <w:r w:rsidR="00BA7663" w:rsidRPr="00BA7663">
              <w:rPr>
                <w:rFonts w:ascii="宋体" w:eastAsia="宋体" w:hAnsi="宋体" w:hint="eastAsia"/>
              </w:rPr>
              <w:t>新建</w:t>
            </w:r>
            <w:r>
              <w:rPr>
                <w:rFonts w:ascii="宋体" w:eastAsia="宋体" w:hAnsi="宋体" w:hint="eastAsia"/>
              </w:rPr>
              <w:t>岭西五路、岭西七路、岭西四路、岭西六路、规划三路、规划四路、向前路、春光路道路8条</w:t>
            </w:r>
            <w:r w:rsidR="00BA7663">
              <w:rPr>
                <w:rFonts w:ascii="宋体" w:eastAsia="宋体" w:hAnsi="宋体" w:hint="eastAsia"/>
              </w:rPr>
              <w:t>，以及四座桥梁</w:t>
            </w:r>
            <w:r>
              <w:rPr>
                <w:rFonts w:ascii="宋体" w:eastAsia="宋体" w:hAnsi="宋体" w:hint="eastAsia"/>
              </w:rPr>
              <w:t>。</w:t>
            </w:r>
          </w:p>
          <w:p w14:paraId="0CF90C09" w14:textId="77777777" w:rsidR="007C4A68" w:rsidRDefault="007C4A68" w:rsidP="007C4A68">
            <w:pPr>
              <w:adjustRightInd w:val="0"/>
              <w:snapToGrid w:val="0"/>
              <w:spacing w:line="360" w:lineRule="auto"/>
              <w:ind w:firstLineChars="200" w:firstLine="422"/>
              <w:rPr>
                <w:rFonts w:ascii="宋体" w:eastAsia="宋体" w:hAnsi="宋体"/>
              </w:rPr>
            </w:pPr>
            <w:r>
              <w:rPr>
                <w:rFonts w:ascii="宋体" w:eastAsia="宋体" w:hAnsi="宋体" w:cs="宋体"/>
                <w:b/>
                <w:szCs w:val="21"/>
              </w:rPr>
              <w:lastRenderedPageBreak/>
              <w:t>公主岭市城市老旧小区改造建设项目</w:t>
            </w:r>
            <w:r>
              <w:rPr>
                <w:rFonts w:ascii="宋体" w:eastAsia="宋体" w:hAnsi="宋体" w:cs="宋体" w:hint="eastAsia"/>
                <w:b/>
                <w:szCs w:val="21"/>
              </w:rPr>
              <w:t>：</w:t>
            </w:r>
            <w:r>
              <w:rPr>
                <w:rFonts w:ascii="宋体" w:eastAsia="宋体" w:hAnsi="宋体" w:cs="宋体" w:hint="eastAsia"/>
                <w:szCs w:val="21"/>
              </w:rPr>
              <w:t>总投资</w:t>
            </w:r>
            <w:r>
              <w:rPr>
                <w:rFonts w:ascii="宋体" w:eastAsia="宋体" w:hAnsi="宋体" w:cs="宋体"/>
                <w:szCs w:val="21"/>
              </w:rPr>
              <w:t>8</w:t>
            </w:r>
            <w:r>
              <w:rPr>
                <w:rFonts w:ascii="宋体" w:eastAsia="宋体" w:hAnsi="宋体" w:cs="宋体" w:hint="eastAsia"/>
                <w:szCs w:val="21"/>
              </w:rPr>
              <w:t>.5亿元</w:t>
            </w:r>
            <w:r>
              <w:rPr>
                <w:rFonts w:ascii="宋体" w:eastAsia="宋体" w:hAnsi="宋体" w:cs="宋体"/>
                <w:szCs w:val="21"/>
              </w:rPr>
              <w:t>，</w:t>
            </w:r>
            <w:r>
              <w:rPr>
                <w:rFonts w:ascii="宋体" w:eastAsia="宋体" w:hAnsi="宋体" w:cs="宋体" w:hint="eastAsia"/>
                <w:szCs w:val="21"/>
              </w:rPr>
              <w:t>包括基础类改造项目、完善类改造项目和提升类改造项目三类，</w:t>
            </w:r>
            <w:r>
              <w:rPr>
                <w:rFonts w:ascii="宋体" w:eastAsia="宋体" w:hAnsi="宋体" w:cs="宋体"/>
                <w:szCs w:val="21"/>
              </w:rPr>
              <w:t>共改造197个小区。</w:t>
            </w:r>
          </w:p>
          <w:p w14:paraId="494F6EF7" w14:textId="77777777" w:rsidR="007C4A68" w:rsidRDefault="007C4A68" w:rsidP="007C4A68">
            <w:pPr>
              <w:adjustRightInd w:val="0"/>
              <w:snapToGrid w:val="0"/>
              <w:spacing w:line="360" w:lineRule="auto"/>
              <w:ind w:firstLineChars="200" w:firstLine="422"/>
              <w:rPr>
                <w:rFonts w:ascii="宋体" w:eastAsia="宋体" w:hAnsi="宋体" w:cs="宋体"/>
                <w:szCs w:val="21"/>
              </w:rPr>
            </w:pPr>
            <w:r>
              <w:rPr>
                <w:rFonts w:ascii="宋体" w:eastAsia="宋体" w:hAnsi="宋体" w:cs="宋体"/>
                <w:b/>
                <w:szCs w:val="21"/>
              </w:rPr>
              <w:t>生态教育园区项目</w:t>
            </w:r>
            <w:r>
              <w:rPr>
                <w:rFonts w:ascii="宋体" w:eastAsia="宋体" w:hAnsi="宋体" w:cs="宋体" w:hint="eastAsia"/>
                <w:b/>
                <w:szCs w:val="21"/>
              </w:rPr>
              <w:t>：</w:t>
            </w:r>
            <w:r>
              <w:rPr>
                <w:rFonts w:ascii="宋体" w:eastAsia="宋体" w:hAnsi="宋体" w:cs="宋体" w:hint="eastAsia"/>
                <w:szCs w:val="21"/>
              </w:rPr>
              <w:t>总投资10亿元，建设办学规模5000人以上的学校、10万平方米的公共管理与服务的配套设施、26.75万平方米的道路绿化等项目。</w:t>
            </w:r>
          </w:p>
          <w:p w14:paraId="0760CE54" w14:textId="77777777" w:rsidR="00501569" w:rsidRDefault="00C74794" w:rsidP="007C4A68">
            <w:pPr>
              <w:adjustRightInd w:val="0"/>
              <w:snapToGrid w:val="0"/>
              <w:spacing w:line="360" w:lineRule="auto"/>
              <w:ind w:firstLineChars="200" w:firstLine="422"/>
              <w:rPr>
                <w:rFonts w:ascii="宋体" w:eastAsia="宋体" w:hAnsi="宋体"/>
              </w:rPr>
            </w:pPr>
            <w:r>
              <w:rPr>
                <w:rFonts w:ascii="宋体" w:eastAsia="宋体" w:hAnsi="宋体" w:cs="宋体"/>
                <w:b/>
                <w:szCs w:val="21"/>
              </w:rPr>
              <w:t>公主岭市传染病医院异地新建项目</w:t>
            </w:r>
            <w:r>
              <w:rPr>
                <w:rFonts w:ascii="宋体" w:eastAsia="宋体" w:hAnsi="宋体" w:cs="宋体" w:hint="eastAsia"/>
                <w:b/>
                <w:szCs w:val="21"/>
              </w:rPr>
              <w:t>：</w:t>
            </w:r>
            <w:r>
              <w:rPr>
                <w:rFonts w:ascii="宋体" w:eastAsia="宋体" w:hAnsi="宋体" w:hint="eastAsia"/>
              </w:rPr>
              <w:t>总投资</w:t>
            </w:r>
            <w:r w:rsidR="00DC2CFF">
              <w:rPr>
                <w:rFonts w:ascii="宋体" w:eastAsia="宋体" w:hAnsi="宋体"/>
              </w:rPr>
              <w:t>0.925</w:t>
            </w:r>
            <w:r>
              <w:rPr>
                <w:rFonts w:ascii="宋体" w:eastAsia="宋体" w:hAnsi="宋体" w:hint="eastAsia"/>
              </w:rPr>
              <w:t>亿元，占地面积</w:t>
            </w:r>
            <w:r w:rsidR="00DC2CFF">
              <w:rPr>
                <w:rFonts w:ascii="宋体" w:eastAsia="宋体" w:hAnsi="宋体"/>
              </w:rPr>
              <w:t>1</w:t>
            </w:r>
            <w:r w:rsidR="007C4A68">
              <w:rPr>
                <w:rFonts w:ascii="宋体" w:eastAsia="宋体" w:hAnsi="宋体" w:hint="eastAsia"/>
              </w:rPr>
              <w:t>公顷</w:t>
            </w:r>
            <w:r>
              <w:rPr>
                <w:rFonts w:ascii="宋体" w:eastAsia="宋体" w:hAnsi="宋体"/>
              </w:rPr>
              <w:t>，建筑面积1</w:t>
            </w:r>
            <w:r>
              <w:rPr>
                <w:rFonts w:ascii="宋体" w:eastAsia="宋体" w:hAnsi="宋体" w:hint="eastAsia"/>
              </w:rPr>
              <w:t>万</w:t>
            </w:r>
            <w:r>
              <w:rPr>
                <w:rFonts w:ascii="宋体" w:eastAsia="宋体" w:hAnsi="宋体"/>
              </w:rPr>
              <w:t>平方米，初步设计床位100张（50张负压）</w:t>
            </w:r>
            <w:r>
              <w:rPr>
                <w:rFonts w:ascii="宋体" w:eastAsia="宋体" w:hAnsi="宋体" w:hint="eastAsia"/>
              </w:rPr>
              <w:t>。</w:t>
            </w:r>
          </w:p>
          <w:p w14:paraId="27D822C4" w14:textId="77777777" w:rsidR="00501569" w:rsidRDefault="00C74794">
            <w:pPr>
              <w:adjustRightInd w:val="0"/>
              <w:snapToGrid w:val="0"/>
              <w:spacing w:line="360" w:lineRule="auto"/>
              <w:ind w:firstLineChars="200" w:firstLine="422"/>
              <w:rPr>
                <w:rFonts w:ascii="宋体" w:eastAsia="宋体" w:hAnsi="宋体" w:cs="宋体"/>
                <w:b/>
                <w:szCs w:val="21"/>
              </w:rPr>
            </w:pPr>
            <w:r>
              <w:rPr>
                <w:rFonts w:ascii="宋体" w:eastAsia="宋体" w:hAnsi="宋体" w:cs="宋体"/>
                <w:b/>
                <w:szCs w:val="21"/>
              </w:rPr>
              <w:t>公主岭卫生职工中等专业学校新建项目</w:t>
            </w:r>
            <w:r>
              <w:rPr>
                <w:rFonts w:ascii="宋体" w:eastAsia="宋体" w:hAnsi="宋体" w:cs="宋体" w:hint="eastAsia"/>
                <w:b/>
                <w:szCs w:val="21"/>
              </w:rPr>
              <w:t>：</w:t>
            </w:r>
            <w:r>
              <w:rPr>
                <w:rFonts w:ascii="宋体" w:eastAsia="宋体" w:hAnsi="宋体" w:hint="eastAsia"/>
              </w:rPr>
              <w:t>项目总投资1.1亿元，</w:t>
            </w:r>
            <w:r>
              <w:rPr>
                <w:rFonts w:ascii="宋体" w:eastAsia="宋体" w:hAnsi="宋体" w:cs="宋体" w:hint="eastAsia"/>
                <w:szCs w:val="21"/>
              </w:rPr>
              <w:t>项目占地面积</w:t>
            </w:r>
            <w:r>
              <w:rPr>
                <w:rFonts w:ascii="宋体" w:eastAsia="宋体" w:hAnsi="宋体" w:cs="宋体"/>
                <w:szCs w:val="21"/>
              </w:rPr>
              <w:t>30000平方米，建筑面积3</w:t>
            </w:r>
            <w:r>
              <w:rPr>
                <w:rFonts w:ascii="宋体" w:eastAsia="宋体" w:hAnsi="宋体" w:cs="宋体" w:hint="eastAsia"/>
                <w:szCs w:val="21"/>
              </w:rPr>
              <w:t>万</w:t>
            </w:r>
            <w:r>
              <w:rPr>
                <w:rFonts w:ascii="宋体" w:eastAsia="宋体" w:hAnsi="宋体" w:cs="宋体"/>
                <w:szCs w:val="21"/>
              </w:rPr>
              <w:t>平方米，可容纳</w:t>
            </w:r>
            <w:r>
              <w:rPr>
                <w:rFonts w:ascii="宋体" w:eastAsia="宋体" w:hAnsi="宋体" w:cs="宋体" w:hint="eastAsia"/>
                <w:szCs w:val="21"/>
              </w:rPr>
              <w:t>学生</w:t>
            </w:r>
            <w:r>
              <w:rPr>
                <w:rFonts w:ascii="宋体" w:eastAsia="宋体" w:hAnsi="宋体" w:cs="宋体"/>
                <w:szCs w:val="21"/>
              </w:rPr>
              <w:t>1400名。</w:t>
            </w:r>
          </w:p>
          <w:p w14:paraId="29BA8029" w14:textId="77777777" w:rsidR="00501569" w:rsidRDefault="00C74794">
            <w:pPr>
              <w:adjustRightInd w:val="0"/>
              <w:snapToGrid w:val="0"/>
              <w:spacing w:line="360" w:lineRule="auto"/>
              <w:ind w:firstLineChars="200" w:firstLine="422"/>
              <w:rPr>
                <w:rFonts w:ascii="宋体" w:eastAsia="宋体" w:hAnsi="宋体" w:cs="宋体"/>
                <w:b/>
                <w:szCs w:val="21"/>
              </w:rPr>
            </w:pPr>
            <w:r>
              <w:rPr>
                <w:rFonts w:ascii="宋体" w:eastAsia="宋体" w:hAnsi="宋体" w:cs="宋体"/>
                <w:b/>
                <w:szCs w:val="21"/>
              </w:rPr>
              <w:t>公主岭市第六中学校迁址新校区(原一中老校区)维修改造项目</w:t>
            </w:r>
            <w:r>
              <w:rPr>
                <w:rFonts w:ascii="宋体" w:eastAsia="宋体" w:hAnsi="宋体" w:cs="宋体" w:hint="eastAsia"/>
                <w:b/>
                <w:szCs w:val="21"/>
              </w:rPr>
              <w:t>：</w:t>
            </w:r>
            <w:r>
              <w:rPr>
                <w:rFonts w:ascii="宋体" w:eastAsia="宋体" w:hAnsi="宋体" w:cs="宋体" w:hint="eastAsia"/>
                <w:szCs w:val="21"/>
              </w:rPr>
              <w:t>总投资0.6亿元，主要涉及教学楼、宿舍楼、食堂、操场等基础设施改造，总建筑面积</w:t>
            </w:r>
            <w:r>
              <w:rPr>
                <w:rFonts w:ascii="宋体" w:eastAsia="宋体" w:hAnsi="宋体" w:cs="宋体"/>
                <w:szCs w:val="21"/>
              </w:rPr>
              <w:t>60000㎡。</w:t>
            </w:r>
          </w:p>
          <w:p w14:paraId="72D37F41"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b/>
                <w:szCs w:val="21"/>
              </w:rPr>
              <w:t>公主岭市图书馆改造项目</w:t>
            </w:r>
            <w:r>
              <w:rPr>
                <w:rFonts w:ascii="宋体" w:eastAsia="宋体" w:hAnsi="宋体" w:cs="宋体" w:hint="eastAsia"/>
                <w:b/>
                <w:szCs w:val="21"/>
              </w:rPr>
              <w:t>：</w:t>
            </w:r>
            <w:r>
              <w:rPr>
                <w:rFonts w:ascii="宋体" w:eastAsia="宋体" w:hAnsi="宋体" w:cs="宋体" w:hint="eastAsia"/>
                <w:szCs w:val="21"/>
              </w:rPr>
              <w:t>项目总投资0.23亿元，</w:t>
            </w:r>
            <w:r>
              <w:rPr>
                <w:rFonts w:ascii="宋体" w:eastAsia="宋体" w:hAnsi="宋体" w:cs="宋体"/>
                <w:szCs w:val="21"/>
              </w:rPr>
              <w:t>扩建面积4600㎡，共分为八大功能区。</w:t>
            </w:r>
          </w:p>
          <w:p w14:paraId="36C5E310"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b/>
                <w:szCs w:val="21"/>
              </w:rPr>
              <w:t>公主岭市建筑垃圾处理及利用工程项目</w:t>
            </w:r>
            <w:r>
              <w:rPr>
                <w:rFonts w:ascii="宋体" w:eastAsia="宋体" w:hAnsi="宋体" w:cs="宋体" w:hint="eastAsia"/>
                <w:b/>
                <w:szCs w:val="21"/>
              </w:rPr>
              <w:t>：</w:t>
            </w:r>
            <w:r>
              <w:rPr>
                <w:rFonts w:ascii="宋体" w:eastAsia="宋体" w:hAnsi="宋体" w:cs="宋体" w:hint="eastAsia"/>
                <w:szCs w:val="21"/>
              </w:rPr>
              <w:t>总投资0.93亿元，建设日处理</w:t>
            </w:r>
            <w:r>
              <w:rPr>
                <w:rFonts w:ascii="宋体" w:eastAsia="宋体" w:hAnsi="宋体" w:cs="宋体"/>
                <w:szCs w:val="21"/>
              </w:rPr>
              <w:t>200吨的建筑垃圾吸纳场一座。</w:t>
            </w:r>
          </w:p>
          <w:p w14:paraId="60A4BFCB"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b/>
                <w:szCs w:val="21"/>
              </w:rPr>
              <w:t>公主岭市固体废弃物处理工程项目</w:t>
            </w:r>
            <w:r>
              <w:rPr>
                <w:rFonts w:ascii="宋体" w:eastAsia="宋体" w:hAnsi="宋体" w:cs="宋体" w:hint="eastAsia"/>
                <w:b/>
                <w:szCs w:val="21"/>
              </w:rPr>
              <w:t>：</w:t>
            </w:r>
            <w:r>
              <w:rPr>
                <w:rFonts w:ascii="宋体" w:eastAsia="宋体" w:hAnsi="宋体" w:cs="宋体" w:hint="eastAsia"/>
                <w:szCs w:val="21"/>
              </w:rPr>
              <w:t>总投资0.35亿元，建设飞灰填埋区、垃圾填埋区，设有水平防渗和垂直防渗。</w:t>
            </w:r>
          </w:p>
          <w:p w14:paraId="2B5EA690" w14:textId="77777777" w:rsidR="00501569" w:rsidRDefault="00C74794" w:rsidP="007C4A68">
            <w:pPr>
              <w:adjustRightInd w:val="0"/>
              <w:snapToGrid w:val="0"/>
              <w:spacing w:line="360" w:lineRule="auto"/>
              <w:ind w:firstLineChars="200" w:firstLine="422"/>
              <w:rPr>
                <w:rFonts w:ascii="宋体" w:eastAsia="宋体" w:hAnsi="宋体" w:cs="宋体"/>
                <w:b/>
                <w:szCs w:val="21"/>
              </w:rPr>
            </w:pPr>
            <w:r>
              <w:rPr>
                <w:rFonts w:ascii="宋体" w:eastAsia="宋体" w:hAnsi="宋体" w:cs="宋体"/>
                <w:b/>
                <w:szCs w:val="21"/>
              </w:rPr>
              <w:t>公主岭市餐厨垃圾处理处置工程项目</w:t>
            </w:r>
            <w:r>
              <w:rPr>
                <w:rFonts w:ascii="宋体" w:eastAsia="宋体" w:hAnsi="宋体" w:cs="宋体" w:hint="eastAsia"/>
                <w:b/>
                <w:szCs w:val="21"/>
              </w:rPr>
              <w:t>：</w:t>
            </w:r>
            <w:r>
              <w:rPr>
                <w:rFonts w:ascii="宋体" w:eastAsia="宋体" w:hAnsi="宋体" w:cs="宋体" w:hint="eastAsia"/>
                <w:szCs w:val="21"/>
              </w:rPr>
              <w:t>总投资0.48亿元，建设日处理能力</w:t>
            </w:r>
            <w:r>
              <w:rPr>
                <w:rFonts w:ascii="宋体" w:eastAsia="宋体" w:hAnsi="宋体" w:cs="宋体"/>
                <w:szCs w:val="21"/>
              </w:rPr>
              <w:t>25吨餐厨垃圾处理场一座。</w:t>
            </w:r>
          </w:p>
        </w:tc>
      </w:tr>
    </w:tbl>
    <w:p w14:paraId="5A1A7D99" w14:textId="77777777" w:rsidR="00501569" w:rsidRPr="007F02F9" w:rsidRDefault="00C74794" w:rsidP="0045498C">
      <w:pPr>
        <w:pStyle w:val="20"/>
        <w:spacing w:beforeLines="80" w:before="249" w:afterLines="50" w:after="156"/>
        <w:rPr>
          <w:rFonts w:ascii="仿宋_GB2312" w:eastAsia="仿宋_GB2312" w:hAnsi="仿宋_GB2312" w:cs="仿宋_GB2312"/>
        </w:rPr>
      </w:pPr>
      <w:bookmarkStart w:id="17" w:name="_Toc29009"/>
      <w:r w:rsidRPr="007F02F9">
        <w:rPr>
          <w:rFonts w:ascii="楷体_GB2312" w:hAnsi="楷体_GB2312" w:cs="楷体_GB2312" w:hint="eastAsia"/>
        </w:rPr>
        <w:lastRenderedPageBreak/>
        <w:t>第二节 建设国家级农高区</w:t>
      </w:r>
      <w:bookmarkEnd w:id="14"/>
      <w:bookmarkEnd w:id="17"/>
    </w:p>
    <w:p w14:paraId="4551410E" w14:textId="77777777" w:rsidR="00501569" w:rsidRDefault="00C74794" w:rsidP="00C74794">
      <w:pPr>
        <w:pBdr>
          <w:bottom w:val="single" w:sz="4" w:space="10" w:color="FFFFFF"/>
        </w:pBdr>
        <w:tabs>
          <w:tab w:val="left" w:pos="1440"/>
        </w:tabs>
        <w:ind w:firstLineChars="200" w:firstLine="640"/>
        <w:rPr>
          <w:rFonts w:ascii="仿宋_GB2312" w:eastAsia="仿宋_GB2312"/>
          <w:sz w:val="32"/>
          <w:szCs w:val="32"/>
        </w:rPr>
      </w:pPr>
      <w:r>
        <w:rPr>
          <w:rFonts w:ascii="仿宋_GB2312" w:eastAsia="仿宋_GB2312" w:hAnsi="仿宋_GB2312" w:cs="仿宋_GB2312" w:hint="eastAsia"/>
          <w:bCs/>
          <w:sz w:val="32"/>
          <w:szCs w:val="32"/>
        </w:rPr>
        <w:t>以“松嫩平原绿色循环农业”为建设主题，以保障国家粮食安全为重心，以“玉米”为主导产业，以玉米产业全产业链发展为抓手，</w:t>
      </w:r>
      <w:r>
        <w:rPr>
          <w:rFonts w:ascii="仿宋_GB2312" w:eastAsia="仿宋_GB2312"/>
          <w:sz w:val="32"/>
          <w:szCs w:val="32"/>
        </w:rPr>
        <w:t>增强农业科技创新能力，</w:t>
      </w:r>
      <w:r>
        <w:rPr>
          <w:rFonts w:ascii="仿宋_GB2312" w:eastAsia="仿宋_GB2312" w:hint="eastAsia"/>
          <w:sz w:val="32"/>
          <w:szCs w:val="32"/>
        </w:rPr>
        <w:t>构建</w:t>
      </w:r>
      <w:r>
        <w:rPr>
          <w:rFonts w:ascii="仿宋_GB2312" w:eastAsia="仿宋_GB2312"/>
          <w:sz w:val="32"/>
          <w:szCs w:val="32"/>
        </w:rPr>
        <w:t>具有核心竞争优势的规模效益型农业高新技术产业集群</w:t>
      </w:r>
      <w:r>
        <w:rPr>
          <w:rFonts w:ascii="仿宋_GB2312" w:eastAsia="仿宋_GB2312" w:hint="eastAsia"/>
          <w:sz w:val="32"/>
          <w:szCs w:val="32"/>
        </w:rPr>
        <w:t>，打造玉米科技创新高地、人才高地和产业高地。</w:t>
      </w:r>
    </w:p>
    <w:p w14:paraId="59399432" w14:textId="77777777" w:rsidR="00501569" w:rsidRDefault="00C74794" w:rsidP="00C74794">
      <w:pPr>
        <w:pBdr>
          <w:bottom w:val="single" w:sz="4" w:space="10" w:color="FFFFFF"/>
        </w:pBdr>
        <w:tabs>
          <w:tab w:val="left" w:pos="1440"/>
        </w:tabs>
        <w:ind w:firstLineChars="200" w:firstLine="643"/>
        <w:rPr>
          <w:rFonts w:ascii="仿宋_GB2312" w:eastAsia="仿宋_GB2312" w:hAnsi="仿宋_GB2312" w:cs="仿宋_GB2312"/>
          <w:bCs/>
          <w:sz w:val="32"/>
          <w:szCs w:val="32"/>
        </w:rPr>
      </w:pPr>
      <w:r>
        <w:rPr>
          <w:rFonts w:ascii="仿宋_GB2312" w:eastAsia="仿宋_GB2312" w:hint="eastAsia"/>
          <w:b/>
          <w:sz w:val="32"/>
          <w:szCs w:val="32"/>
        </w:rPr>
        <w:t>构建</w:t>
      </w:r>
      <w:r>
        <w:rPr>
          <w:rFonts w:ascii="仿宋_GB2312" w:eastAsia="仿宋_GB2312" w:hAnsi="仿宋_GB2312" w:cs="仿宋_GB2312" w:hint="eastAsia"/>
          <w:b/>
          <w:bCs/>
          <w:sz w:val="32"/>
          <w:szCs w:val="32"/>
        </w:rPr>
        <w:t>“一区一带一</w:t>
      </w:r>
      <w:r>
        <w:rPr>
          <w:rFonts w:ascii="仿宋_GB2312" w:eastAsia="仿宋_GB2312" w:hAnsi="仿宋_GB2312" w:cs="仿宋_GB2312" w:hint="eastAsia"/>
          <w:b/>
          <w:sz w:val="32"/>
          <w:szCs w:val="32"/>
        </w:rPr>
        <w:t>廊六基地”。</w:t>
      </w:r>
      <w:r>
        <w:rPr>
          <w:rFonts w:ascii="仿宋_GB2312" w:eastAsia="仿宋_GB2312" w:hAnsi="仿宋_GB2312" w:cs="仿宋_GB2312" w:hint="eastAsia"/>
          <w:bCs/>
          <w:sz w:val="32"/>
          <w:szCs w:val="32"/>
        </w:rPr>
        <w:t>按照“核心区+示范区”模式，统筹规划布局农高区建设。</w:t>
      </w:r>
      <w:bookmarkStart w:id="18" w:name="_Hlk53735231"/>
      <w:r>
        <w:rPr>
          <w:rFonts w:ascii="仿宋_GB2312" w:eastAsia="仿宋_GB2312" w:hAnsi="仿宋_GB2312" w:cs="仿宋_GB2312" w:hint="eastAsia"/>
          <w:bCs/>
          <w:sz w:val="32"/>
          <w:szCs w:val="32"/>
        </w:rPr>
        <w:t>重点建设以农业博览园、高新科技创新创业园、智能农机装备制造园、玉米精深加工产业园为主导功能的核心区。核心区外的示范区建设休闲农</w:t>
      </w:r>
      <w:r>
        <w:rPr>
          <w:rFonts w:ascii="仿宋_GB2312" w:eastAsia="仿宋_GB2312" w:hAnsi="仿宋_GB2312" w:cs="仿宋_GB2312" w:hint="eastAsia"/>
          <w:bCs/>
          <w:sz w:val="32"/>
          <w:szCs w:val="32"/>
        </w:rPr>
        <w:lastRenderedPageBreak/>
        <w:t>业示范基地、现代物流仓储示范基地、黑土地可持续发展示范基地、智能农机示范基地、现代种业示范基地以及城乡融合示范基地六个基地，以及现代农业高质量发展带和农旅景观通廊。</w:t>
      </w:r>
    </w:p>
    <w:p w14:paraId="10F72167" w14:textId="77777777" w:rsidR="00501569" w:rsidRDefault="00C74794" w:rsidP="00C74794">
      <w:pPr>
        <w:pBdr>
          <w:bottom w:val="single" w:sz="4" w:space="10" w:color="FFFFFF"/>
        </w:pBdr>
        <w:tabs>
          <w:tab w:val="left" w:pos="1440"/>
        </w:tabs>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打造现代玉米全产业链发展示范区。</w:t>
      </w:r>
      <w:r>
        <w:rPr>
          <w:rFonts w:ascii="仿宋_GB2312" w:eastAsia="仿宋_GB2312" w:hAnsi="仿宋_GB2312" w:cs="仿宋_GB2312" w:hint="eastAsia"/>
          <w:bCs/>
          <w:sz w:val="32"/>
          <w:szCs w:val="32"/>
        </w:rPr>
        <w:t>构建“玉米种业、玉米种植业、玉米精深加工业、智能农机装备业和农业科技服务业”产业体系，实现玉米全产业链集群化发展。</w:t>
      </w:r>
      <w:r>
        <w:rPr>
          <w:rFonts w:ascii="仿宋_GB2312" w:eastAsia="仿宋_GB2312" w:hAnsi="仿宋_GB2312" w:cs="仿宋_GB2312"/>
          <w:sz w:val="32"/>
          <w:szCs w:val="32"/>
        </w:rPr>
        <w:t>鼓励</w:t>
      </w:r>
      <w:r>
        <w:rPr>
          <w:rFonts w:ascii="仿宋_GB2312" w:eastAsia="仿宋_GB2312" w:hAnsi="仿宋_GB2312" w:cs="仿宋_GB2312" w:hint="eastAsia"/>
          <w:sz w:val="32"/>
          <w:szCs w:val="32"/>
        </w:rPr>
        <w:t>农业龙头企业</w:t>
      </w:r>
      <w:r>
        <w:rPr>
          <w:rFonts w:ascii="仿宋_GB2312" w:eastAsia="仿宋_GB2312" w:hAnsi="仿宋_GB2312" w:cs="仿宋_GB2312"/>
          <w:sz w:val="32"/>
          <w:szCs w:val="32"/>
        </w:rPr>
        <w:t>向产业链条上下游延伸，</w:t>
      </w:r>
      <w:r>
        <w:rPr>
          <w:rFonts w:ascii="仿宋_GB2312" w:eastAsia="仿宋_GB2312" w:hAnsi="仿宋_GB2312" w:cs="仿宋_GB2312" w:hint="eastAsia"/>
          <w:sz w:val="32"/>
          <w:szCs w:val="32"/>
        </w:rPr>
        <w:t>向高端食品、健康保健品、生物医药辅料、化妆品等高值精深加工产品延伸及智能农机装备化方向发展。</w:t>
      </w:r>
      <w:r>
        <w:rPr>
          <w:rFonts w:ascii="仿宋_GB2312" w:eastAsia="仿宋_GB2312" w:hAnsi="仿宋_GB2312" w:cs="仿宋_GB2312" w:hint="eastAsia"/>
          <w:bCs/>
          <w:sz w:val="32"/>
          <w:szCs w:val="32"/>
        </w:rPr>
        <w:t>构建世界“黄金玉米带”发展高地，</w:t>
      </w:r>
      <w:r>
        <w:rPr>
          <w:rFonts w:ascii="仿宋_GB2312" w:eastAsia="仿宋_GB2312" w:hAnsi="仿宋_GB2312" w:cs="仿宋_GB2312" w:hint="eastAsia"/>
          <w:sz w:val="32"/>
          <w:szCs w:val="32"/>
        </w:rPr>
        <w:t>集聚玉米全产业链发展标杆企业及高新技术企业，推进玉米产业一二三产融合发展，提升公主岭玉米产业发展模式和核心竞争力，强化玉米全产业链</w:t>
      </w:r>
      <w:r>
        <w:rPr>
          <w:rFonts w:ascii="仿宋_GB2312" w:eastAsia="仿宋_GB2312" w:hAnsi="仿宋_GB2312" w:cs="仿宋_GB2312" w:hint="eastAsia"/>
          <w:bCs/>
          <w:sz w:val="32"/>
          <w:szCs w:val="32"/>
        </w:rPr>
        <w:t>，作为全国大宗作物优质高效发展样板，构建国家粮食主产区高质量跨越式发展典范。</w:t>
      </w:r>
    </w:p>
    <w:p w14:paraId="73C91AB9" w14:textId="77777777" w:rsidR="00501569" w:rsidRDefault="00C74794" w:rsidP="00C74794">
      <w:pPr>
        <w:pBdr>
          <w:bottom w:val="single" w:sz="4" w:space="10" w:color="FFFFFF"/>
        </w:pBdr>
        <w:tabs>
          <w:tab w:val="left" w:pos="1440"/>
        </w:tabs>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提升玉米创新发展水平。</w:t>
      </w:r>
      <w:r>
        <w:rPr>
          <w:rFonts w:ascii="仿宋_GB2312" w:eastAsia="仿宋_GB2312" w:hAnsi="仿宋_GB2312" w:cs="仿宋_GB2312" w:hint="eastAsia"/>
          <w:sz w:val="32"/>
          <w:szCs w:val="32"/>
        </w:rPr>
        <w:t>以玉米产业“优质高效”</w:t>
      </w:r>
      <w:r>
        <w:rPr>
          <w:rFonts w:ascii="仿宋_GB2312" w:eastAsia="仿宋_GB2312" w:hAnsi="仿宋_GB2312" w:cs="仿宋_GB2312"/>
          <w:sz w:val="32"/>
          <w:szCs w:val="32"/>
        </w:rPr>
        <w:t>发展</w:t>
      </w:r>
      <w:r>
        <w:rPr>
          <w:rFonts w:ascii="仿宋_GB2312" w:eastAsia="仿宋_GB2312" w:hAnsi="仿宋_GB2312" w:cs="仿宋_GB2312" w:hint="eastAsia"/>
          <w:sz w:val="32"/>
          <w:szCs w:val="32"/>
        </w:rPr>
        <w:t>为重心，</w:t>
      </w:r>
      <w:r>
        <w:rPr>
          <w:rFonts w:ascii="仿宋_GB2312" w:eastAsia="仿宋_GB2312" w:hAnsi="仿宋_GB2312" w:cs="仿宋_GB2312" w:hint="eastAsia"/>
          <w:bCs/>
          <w:sz w:val="32"/>
          <w:szCs w:val="32"/>
        </w:rPr>
        <w:t>提升玉米全产业科技创新能力，着力解决玉米战略性品种创制、黑土地退化等科技问题。</w:t>
      </w:r>
      <w:r>
        <w:rPr>
          <w:rFonts w:ascii="仿宋_GB2312" w:eastAsia="仿宋_GB2312" w:hAnsi="仿宋_GB2312" w:cs="仿宋_GB2312"/>
          <w:sz w:val="32"/>
          <w:szCs w:val="32"/>
        </w:rPr>
        <w:t>推动以信息化、精准化、智能化的农机装备产业升级</w:t>
      </w:r>
      <w:r>
        <w:rPr>
          <w:rFonts w:ascii="仿宋_GB2312" w:eastAsia="仿宋_GB2312" w:hAnsi="仿宋_GB2312" w:cs="仿宋_GB2312" w:hint="eastAsia"/>
          <w:sz w:val="32"/>
          <w:szCs w:val="32"/>
        </w:rPr>
        <w:t>，提高玉米生产能力。深化供给侧结构性改革，加快</w:t>
      </w:r>
      <w:r>
        <w:rPr>
          <w:rFonts w:ascii="仿宋_GB2312" w:eastAsia="仿宋_GB2312" w:hAnsi="仿宋_GB2312" w:cs="仿宋_GB2312"/>
          <w:sz w:val="32"/>
          <w:szCs w:val="32"/>
        </w:rPr>
        <w:t>推动</w:t>
      </w:r>
      <w:r>
        <w:rPr>
          <w:rFonts w:ascii="仿宋_GB2312" w:eastAsia="仿宋_GB2312" w:hAnsi="仿宋_GB2312" w:cs="仿宋_GB2312" w:hint="eastAsia"/>
          <w:sz w:val="32"/>
          <w:szCs w:val="32"/>
        </w:rPr>
        <w:t>玉米产</w:t>
      </w:r>
      <w:r>
        <w:rPr>
          <w:rFonts w:ascii="仿宋_GB2312" w:eastAsia="仿宋_GB2312" w:hAnsi="仿宋_GB2312" w:cs="仿宋_GB2312"/>
          <w:sz w:val="32"/>
          <w:szCs w:val="32"/>
        </w:rPr>
        <w:t>业</w:t>
      </w:r>
      <w:r>
        <w:rPr>
          <w:rFonts w:ascii="仿宋_GB2312" w:eastAsia="仿宋_GB2312" w:hAnsi="仿宋_GB2312" w:cs="仿宋_GB2312" w:hint="eastAsia"/>
          <w:sz w:val="32"/>
          <w:szCs w:val="32"/>
        </w:rPr>
        <w:t>市场主体</w:t>
      </w:r>
      <w:r>
        <w:rPr>
          <w:rFonts w:ascii="仿宋_GB2312" w:eastAsia="仿宋_GB2312" w:hAnsi="仿宋_GB2312" w:cs="仿宋_GB2312"/>
          <w:sz w:val="32"/>
          <w:szCs w:val="32"/>
        </w:rPr>
        <w:t>从数量增长向质量提升、</w:t>
      </w:r>
      <w:r>
        <w:rPr>
          <w:rFonts w:ascii="仿宋_GB2312" w:eastAsia="仿宋_GB2312" w:hAnsi="仿宋_GB2312" w:cs="仿宋_GB2312" w:hint="eastAsia"/>
          <w:sz w:val="32"/>
          <w:szCs w:val="32"/>
        </w:rPr>
        <w:t>从</w:t>
      </w:r>
      <w:r>
        <w:rPr>
          <w:rFonts w:ascii="仿宋_GB2312" w:eastAsia="仿宋_GB2312" w:hAnsi="仿宋_GB2312" w:cs="仿宋_GB2312"/>
          <w:sz w:val="32"/>
          <w:szCs w:val="32"/>
        </w:rPr>
        <w:t>要素驱动向创新驱动、</w:t>
      </w:r>
      <w:r>
        <w:rPr>
          <w:rFonts w:ascii="仿宋_GB2312" w:eastAsia="仿宋_GB2312" w:hAnsi="仿宋_GB2312" w:cs="仿宋_GB2312" w:hint="eastAsia"/>
          <w:sz w:val="32"/>
          <w:szCs w:val="32"/>
        </w:rPr>
        <w:t>从</w:t>
      </w:r>
      <w:r>
        <w:rPr>
          <w:rFonts w:ascii="仿宋_GB2312" w:eastAsia="仿宋_GB2312" w:hAnsi="仿宋_GB2312" w:cs="仿宋_GB2312"/>
          <w:sz w:val="32"/>
          <w:szCs w:val="32"/>
        </w:rPr>
        <w:t>分散布局向集群发展转变</w:t>
      </w:r>
      <w:r>
        <w:rPr>
          <w:rFonts w:ascii="仿宋_GB2312" w:eastAsia="仿宋_GB2312" w:hAnsi="仿宋_GB2312" w:cs="仿宋_GB2312" w:hint="eastAsia"/>
          <w:sz w:val="32"/>
          <w:szCs w:val="32"/>
        </w:rPr>
        <w:t>。加强与省农科院、吉林农大、吉林大学、中国农大、中国农科院等农业科研院所深度合作，推进农业科技创新和</w:t>
      </w:r>
      <w:r>
        <w:rPr>
          <w:rFonts w:ascii="仿宋_GB2312" w:eastAsia="仿宋_GB2312" w:hAnsi="仿宋_GB2312" w:cs="仿宋_GB2312" w:hint="eastAsia"/>
          <w:sz w:val="32"/>
          <w:szCs w:val="32"/>
        </w:rPr>
        <w:lastRenderedPageBreak/>
        <w:t>关键核心技术攻关。</w:t>
      </w:r>
    </w:p>
    <w:bookmarkEnd w:id="18"/>
    <w:tbl>
      <w:tblPr>
        <w:tblStyle w:val="af0"/>
        <w:tblW w:w="8522" w:type="dxa"/>
        <w:tblLayout w:type="fixed"/>
        <w:tblLook w:val="04A0" w:firstRow="1" w:lastRow="0" w:firstColumn="1" w:lastColumn="0" w:noHBand="0" w:noVBand="1"/>
      </w:tblPr>
      <w:tblGrid>
        <w:gridCol w:w="8522"/>
      </w:tblGrid>
      <w:tr w:rsidR="00501569" w14:paraId="0E58D657" w14:textId="77777777">
        <w:tc>
          <w:tcPr>
            <w:tcW w:w="8522" w:type="dxa"/>
          </w:tcPr>
          <w:p w14:paraId="05130ECA" w14:textId="77777777" w:rsidR="00501569" w:rsidRDefault="00501569">
            <w:pPr>
              <w:adjustRightInd w:val="0"/>
              <w:snapToGrid w:val="0"/>
              <w:spacing w:line="360" w:lineRule="auto"/>
              <w:jc w:val="center"/>
              <w:rPr>
                <w:rFonts w:ascii="楷体_GB2312" w:eastAsia="楷体_GB2312" w:hAnsi="楷体_GB2312" w:cs="楷体_GB2312"/>
                <w:b/>
                <w:sz w:val="10"/>
                <w:szCs w:val="10"/>
              </w:rPr>
            </w:pPr>
          </w:p>
          <w:p w14:paraId="472B1E4B" w14:textId="77777777" w:rsidR="00501569" w:rsidRDefault="00C74794">
            <w:pPr>
              <w:adjustRightInd w:val="0"/>
              <w:snapToGrid w:val="0"/>
              <w:spacing w:line="36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专栏3：农高区重点项目</w:t>
            </w:r>
          </w:p>
          <w:p w14:paraId="5C3604F4"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农博园整体建设项目：</w:t>
            </w:r>
            <w:r>
              <w:rPr>
                <w:rFonts w:ascii="宋体" w:eastAsia="宋体" w:hAnsi="宋体" w:cs="宋体" w:hint="eastAsia"/>
                <w:szCs w:val="21"/>
              </w:rPr>
              <w:t>总投资50亿元，占地300公顷，主要是依托农高区，将长春农博园整体搬迁。主要建设</w:t>
            </w:r>
            <w:r>
              <w:rPr>
                <w:rFonts w:ascii="宋体" w:eastAsia="宋体" w:hAnsi="宋体" w:cs="宋体"/>
                <w:szCs w:val="21"/>
              </w:rPr>
              <w:t>智能温室</w:t>
            </w:r>
            <w:r>
              <w:rPr>
                <w:rFonts w:ascii="宋体" w:eastAsia="宋体" w:hAnsi="宋体" w:cs="宋体" w:hint="eastAsia"/>
                <w:szCs w:val="21"/>
              </w:rPr>
              <w:t>、</w:t>
            </w:r>
            <w:r>
              <w:rPr>
                <w:rFonts w:ascii="宋体" w:eastAsia="宋体" w:hAnsi="宋体" w:cs="黑体" w:hint="eastAsia"/>
                <w:szCs w:val="21"/>
              </w:rPr>
              <w:t>北方优质</w:t>
            </w:r>
            <w:r>
              <w:rPr>
                <w:rFonts w:ascii="宋体" w:eastAsia="宋体" w:hAnsi="宋体" w:cs="宋体"/>
                <w:szCs w:val="21"/>
              </w:rPr>
              <w:t>农产品交易中心及配套设施</w:t>
            </w:r>
            <w:r>
              <w:rPr>
                <w:rFonts w:ascii="宋体" w:eastAsia="宋体" w:hAnsi="宋体" w:cs="宋体" w:hint="eastAsia"/>
                <w:szCs w:val="21"/>
              </w:rPr>
              <w:t>、</w:t>
            </w:r>
            <w:r>
              <w:rPr>
                <w:rFonts w:ascii="宋体" w:eastAsia="宋体" w:hAnsi="宋体" w:cs="宋体"/>
                <w:szCs w:val="21"/>
              </w:rPr>
              <w:t>农产品交易展馆及玉米博览会展馆</w:t>
            </w:r>
            <w:r>
              <w:rPr>
                <w:rFonts w:ascii="宋体" w:eastAsia="宋体" w:hAnsi="宋体" w:cs="宋体" w:hint="eastAsia"/>
                <w:szCs w:val="21"/>
              </w:rPr>
              <w:t>、</w:t>
            </w:r>
            <w:r>
              <w:rPr>
                <w:rFonts w:ascii="宋体" w:eastAsia="宋体" w:hAnsi="宋体" w:cs="黑体" w:hint="eastAsia"/>
                <w:szCs w:val="21"/>
              </w:rPr>
              <w:t>100套专家公寓及大学生创业基地</w:t>
            </w:r>
            <w:r>
              <w:rPr>
                <w:rFonts w:ascii="宋体" w:eastAsia="宋体" w:hAnsi="宋体" w:cs="宋体" w:hint="eastAsia"/>
                <w:szCs w:val="21"/>
              </w:rPr>
              <w:t>等。</w:t>
            </w:r>
          </w:p>
          <w:p w14:paraId="1F68D916"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cs="宋体"/>
                <w:b/>
                <w:szCs w:val="21"/>
              </w:rPr>
              <w:t>长春（公主岭）</w:t>
            </w:r>
            <w:r>
              <w:rPr>
                <w:rFonts w:ascii="宋体" w:eastAsia="宋体" w:hAnsi="宋体" w:cs="宋体" w:hint="eastAsia"/>
                <w:b/>
                <w:bCs/>
                <w:szCs w:val="21"/>
              </w:rPr>
              <w:t>科创大厦项目：</w:t>
            </w:r>
            <w:r>
              <w:rPr>
                <w:rFonts w:ascii="宋体" w:eastAsia="宋体" w:hAnsi="宋体" w:cs="宋体" w:hint="eastAsia"/>
                <w:bCs/>
                <w:szCs w:val="21"/>
              </w:rPr>
              <w:t>总</w:t>
            </w:r>
            <w:r>
              <w:rPr>
                <w:rFonts w:ascii="宋体" w:eastAsia="宋体" w:hAnsi="宋体" w:hint="eastAsia"/>
              </w:rPr>
              <w:t>投资</w:t>
            </w:r>
            <w:r w:rsidR="007C4A68">
              <w:rPr>
                <w:rFonts w:ascii="宋体" w:eastAsia="宋体" w:hAnsi="宋体" w:hint="eastAsia"/>
              </w:rPr>
              <w:t>1</w:t>
            </w:r>
            <w:r>
              <w:rPr>
                <w:rFonts w:ascii="宋体" w:eastAsia="宋体" w:hAnsi="宋体" w:hint="eastAsia"/>
              </w:rPr>
              <w:t>3亿元，占地10公顷。打造大学生创业基地、企业孵化基地、科研中心。主要包括专家院士工作站、实验室、高新技术产业产品展示中心和大宗商品交易等4个平台。</w:t>
            </w:r>
          </w:p>
          <w:p w14:paraId="145CEFAB"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国家玉米产业技术体系服务县域经济支撑“一县一业”项目</w:t>
            </w:r>
            <w:r w:rsidR="006403B9">
              <w:rPr>
                <w:rFonts w:ascii="宋体" w:eastAsia="宋体" w:hAnsi="宋体" w:cs="宋体" w:hint="eastAsia"/>
                <w:b/>
                <w:szCs w:val="21"/>
              </w:rPr>
              <w:t>：</w:t>
            </w:r>
            <w:r>
              <w:rPr>
                <w:rFonts w:ascii="宋体" w:eastAsia="宋体" w:hAnsi="宋体" w:cs="宋体" w:hint="eastAsia"/>
                <w:szCs w:val="21"/>
              </w:rPr>
              <w:t>总投资16亿元，主要建设高品质重点实验室、联合实验室和技术创新中心。</w:t>
            </w:r>
          </w:p>
          <w:p w14:paraId="4C634252"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吉林省农业投资集团有限公司硅谷产业园暨国家级玉米批发市场项目</w:t>
            </w:r>
            <w:r w:rsidR="006403B9">
              <w:rPr>
                <w:rFonts w:ascii="宋体" w:eastAsia="宋体" w:hAnsi="宋体" w:cs="宋体" w:hint="eastAsia"/>
                <w:b/>
                <w:szCs w:val="21"/>
              </w:rPr>
              <w:t>：</w:t>
            </w:r>
            <w:r>
              <w:rPr>
                <w:rFonts w:ascii="宋体" w:eastAsia="宋体" w:hAnsi="宋体" w:cs="宋体" w:hint="eastAsia"/>
                <w:szCs w:val="21"/>
              </w:rPr>
              <w:t>总投资16亿元，</w:t>
            </w:r>
            <w:r>
              <w:rPr>
                <w:rFonts w:ascii="宋体" w:eastAsia="宋体" w:hAnsi="宋体" w:cs="宋体"/>
                <w:szCs w:val="21"/>
              </w:rPr>
              <w:t>建设玉米硅谷产业园暨国家级玉米批发市场。</w:t>
            </w:r>
          </w:p>
          <w:p w14:paraId="16F41D68"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szCs w:val="21"/>
              </w:rPr>
              <w:t>10万亩高标准农田示范区：</w:t>
            </w:r>
            <w:r>
              <w:rPr>
                <w:rFonts w:ascii="宋体" w:eastAsia="宋体" w:hAnsi="宋体" w:hint="eastAsia"/>
                <w:szCs w:val="21"/>
              </w:rPr>
              <w:t>总投资5亿元，在朝阳坡镇东兴村、城子上村等8个村、62个村民小组创建一批具有区域特色的高标</w:t>
            </w:r>
            <w:r>
              <w:rPr>
                <w:rFonts w:ascii="宋体" w:eastAsia="宋体" w:hAnsi="宋体" w:hint="eastAsia"/>
              </w:rPr>
              <w:t>准农田示范区</w:t>
            </w:r>
            <w:r>
              <w:rPr>
                <w:rFonts w:ascii="宋体" w:eastAsia="宋体" w:hAnsi="宋体" w:cs="Times New Roman" w:hint="eastAsia"/>
              </w:rPr>
              <w:t>，建设面积10万亩</w:t>
            </w:r>
            <w:r>
              <w:rPr>
                <w:rFonts w:ascii="宋体" w:eastAsia="宋体" w:hAnsi="宋体" w:hint="eastAsia"/>
              </w:rPr>
              <w:t>。</w:t>
            </w:r>
          </w:p>
          <w:p w14:paraId="2E18DB8D"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rPr>
              <w:t>吉林公主岭国家现代种业产业园（种业小镇）：</w:t>
            </w:r>
            <w:r>
              <w:rPr>
                <w:rFonts w:ascii="宋体" w:eastAsia="宋体" w:hAnsi="宋体" w:hint="eastAsia"/>
              </w:rPr>
              <w:t>总投资10亿元，创建国家现代种业产业园，重点支持建设优质粮油、健康养殖、现代种业产业园。</w:t>
            </w:r>
          </w:p>
          <w:p w14:paraId="0AAB6F9E" w14:textId="77777777" w:rsidR="00501569" w:rsidRDefault="00C74794">
            <w:pPr>
              <w:adjustRightInd w:val="0"/>
              <w:snapToGrid w:val="0"/>
              <w:spacing w:line="360" w:lineRule="auto"/>
              <w:ind w:firstLineChars="200" w:firstLine="422"/>
              <w:rPr>
                <w:rFonts w:ascii="Calibri" w:eastAsia="宋体" w:hAnsi="Calibri" w:cs="Times New Roman"/>
              </w:rPr>
            </w:pPr>
            <w:r>
              <w:rPr>
                <w:rFonts w:ascii="Calibri" w:eastAsia="宋体" w:hAnsi="Calibri" w:cs="Times New Roman" w:hint="eastAsia"/>
                <w:b/>
                <w:bCs/>
              </w:rPr>
              <w:t>东北战略新兴产业暨环保产业园：</w:t>
            </w:r>
            <w:r>
              <w:rPr>
                <w:rFonts w:ascii="Calibri" w:eastAsia="宋体" w:hAnsi="Calibri" w:cs="Times New Roman" w:hint="eastAsia"/>
                <w:bCs/>
              </w:rPr>
              <w:t>总投资</w:t>
            </w:r>
            <w:r>
              <w:rPr>
                <w:rFonts w:ascii="宋体" w:eastAsia="宋体" w:hAnsi="宋体" w:cs="Times New Roman"/>
                <w:bCs/>
              </w:rPr>
              <w:t>6.7</w:t>
            </w:r>
            <w:r>
              <w:rPr>
                <w:rFonts w:ascii="宋体" w:eastAsia="宋体" w:hAnsi="宋体" w:cs="Times New Roman" w:hint="eastAsia"/>
                <w:bCs/>
              </w:rPr>
              <w:t>4</w:t>
            </w:r>
            <w:r>
              <w:rPr>
                <w:rFonts w:ascii="Calibri" w:eastAsia="宋体" w:hAnsi="Calibri" w:cs="Times New Roman" w:hint="eastAsia"/>
                <w:bCs/>
              </w:rPr>
              <w:t>亿元，</w:t>
            </w:r>
            <w:r>
              <w:rPr>
                <w:rFonts w:ascii="Calibri" w:eastAsia="宋体" w:hAnsi="Calibri" w:cs="Times New Roman" w:hint="eastAsia"/>
              </w:rPr>
              <w:t>致力于企业清洁生产、公共基础设施建设、环境保护等方面的循环改造。</w:t>
            </w:r>
          </w:p>
          <w:p w14:paraId="6DE5A722"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冷链物流基地项目：</w:t>
            </w:r>
            <w:r>
              <w:rPr>
                <w:rFonts w:ascii="宋体" w:eastAsia="宋体" w:hAnsi="宋体" w:cs="宋体" w:hint="eastAsia"/>
                <w:szCs w:val="21"/>
              </w:rPr>
              <w:t>总投资15亿元，占地35公顷。依托农高区现有的鸿丰物流项目及周边棚膜蔬菜优势，加大冷链物流基地建设，打造东北最大的冷链物流港。</w:t>
            </w:r>
          </w:p>
          <w:p w14:paraId="1E49C009"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农业特色小镇项目：</w:t>
            </w:r>
            <w:r>
              <w:rPr>
                <w:rFonts w:ascii="宋体" w:eastAsia="宋体" w:hAnsi="宋体" w:cs="宋体" w:hint="eastAsia"/>
                <w:szCs w:val="21"/>
              </w:rPr>
              <w:t>总投资80亿元，占地700公顷。主要是对现有的农高区镇区、村屯进行改造、扩建，打造新农村样板，改善农民居住环境。</w:t>
            </w:r>
          </w:p>
        </w:tc>
      </w:tr>
    </w:tbl>
    <w:p w14:paraId="01237C82" w14:textId="77777777" w:rsidR="00501569" w:rsidRPr="005717BE" w:rsidRDefault="00C74794" w:rsidP="0045498C">
      <w:pPr>
        <w:pStyle w:val="20"/>
        <w:spacing w:beforeLines="80" w:before="249" w:afterLines="50" w:after="156"/>
        <w:rPr>
          <w:rFonts w:ascii="楷体_GB2312" w:hAnsi="楷体_GB2312" w:cs="楷体_GB2312"/>
        </w:rPr>
      </w:pPr>
      <w:bookmarkStart w:id="19" w:name="_Toc11934"/>
      <w:r w:rsidRPr="005717BE">
        <w:rPr>
          <w:rFonts w:ascii="楷体_GB2312" w:hAnsi="楷体_GB2312" w:cs="楷体_GB2312" w:hint="eastAsia"/>
        </w:rPr>
        <w:t>第三节 协同创建两大板块</w:t>
      </w:r>
      <w:bookmarkEnd w:id="19"/>
    </w:p>
    <w:p w14:paraId="496C43D8" w14:textId="77777777" w:rsidR="00501569" w:rsidRDefault="00C74794">
      <w:pPr>
        <w:pBdr>
          <w:bottom w:val="single" w:sz="4" w:space="19" w:color="FFFFFF"/>
        </w:pBdr>
        <w:tabs>
          <w:tab w:val="left" w:pos="1440"/>
        </w:tabs>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val="zh-CN"/>
        </w:rPr>
        <w:t>坚持“区域功能互补，产业一体同构”的发展思路，协同推进长春国际汽车城和长春市国家区域创新中心建设，承</w:t>
      </w:r>
      <w:r>
        <w:rPr>
          <w:rFonts w:ascii="仿宋_GB2312" w:eastAsia="仿宋_GB2312" w:hAnsi="仿宋_GB2312" w:cs="仿宋_GB2312" w:hint="eastAsia"/>
          <w:sz w:val="32"/>
          <w:szCs w:val="32"/>
        </w:rPr>
        <w:t>接汽车产业转移，推进产城融合发展，加强协同创新，实现土地资源、高新产业、科创成果有机结合。</w:t>
      </w:r>
    </w:p>
    <w:p w14:paraId="59738D49" w14:textId="77777777" w:rsidR="00951CDE" w:rsidRDefault="00C74794" w:rsidP="00951CDE">
      <w:pPr>
        <w:pBdr>
          <w:bottom w:val="single" w:sz="4" w:space="19" w:color="FFFFFF"/>
        </w:pBdr>
        <w:tabs>
          <w:tab w:val="left" w:pos="1440"/>
        </w:tabs>
        <w:ind w:firstLineChars="200" w:firstLine="643"/>
        <w:rPr>
          <w:rFonts w:ascii="Times New Roman" w:eastAsia="仿宋_GB2312" w:hAnsi="Times New Roman"/>
          <w:sz w:val="32"/>
          <w:szCs w:val="32"/>
        </w:rPr>
      </w:pPr>
      <w:r>
        <w:rPr>
          <w:rFonts w:ascii="仿宋_GB2312" w:eastAsia="仿宋_GB2312" w:hAnsi="仿宋_GB2312" w:cs="仿宋_GB2312" w:hint="eastAsia"/>
          <w:b/>
          <w:sz w:val="32"/>
          <w:szCs w:val="32"/>
        </w:rPr>
        <w:t>融入共建长春国际汽车城。</w:t>
      </w:r>
      <w:r>
        <w:rPr>
          <w:rFonts w:ascii="仿宋_GB2312" w:eastAsia="仿宋_GB2312" w:hAnsi="仿宋_GB2312" w:cs="仿宋_GB2312" w:hint="eastAsia"/>
          <w:bCs/>
          <w:sz w:val="32"/>
          <w:szCs w:val="32"/>
        </w:rPr>
        <w:t>以范家屯镇、大岭镇为主体，</w:t>
      </w:r>
      <w:r>
        <w:rPr>
          <w:rFonts w:ascii="仿宋_GB2312" w:eastAsia="仿宋_GB2312" w:hAnsi="仿宋_GB2312" w:cs="仿宋_GB2312" w:hint="eastAsia"/>
          <w:bCs/>
          <w:sz w:val="32"/>
          <w:szCs w:val="32"/>
        </w:rPr>
        <w:lastRenderedPageBreak/>
        <w:t>联动怀德镇、黑林子镇、永发乡，重点布局和发展以汽车零部件为主体的装备制造业和汽车服务业，着力建设现代化国际汽车物流基地和商贸物流枢纽、世界级汽车智能制造配套基地，构建从传统零部件到智能化模块、新能源模块再到整车生产的汽车及零部件全产业链生态圈，打造汽车产业副中心。</w:t>
      </w:r>
      <w:r>
        <w:rPr>
          <w:rFonts w:ascii="Times New Roman" w:eastAsia="仿宋_GB2312" w:hAnsi="Times New Roman" w:hint="eastAsia"/>
          <w:sz w:val="32"/>
          <w:szCs w:val="32"/>
        </w:rPr>
        <w:t>以公主岭经开区为载体，强化“六个回归”，形成零部件集聚区，重点建设丰田工业园、吉浙对口合作产业园、台湾工业园、中德工业园，推进零部件研发、设计、物流、后市场服务集群发展。以范家屯特色产业小镇为依托，加快文体教育、五星酒店、温泉养生等高端服务功能建设，成为同城化和产城融合发展的重要承载区。</w:t>
      </w:r>
      <w:r>
        <w:rPr>
          <w:rFonts w:ascii="仿宋_GB2312" w:eastAsia="仿宋_GB2312" w:hAnsi="仿宋_GB2312" w:cs="仿宋_GB2312" w:hint="eastAsia"/>
          <w:sz w:val="32"/>
          <w:szCs w:val="32"/>
        </w:rPr>
        <w:t>以</w:t>
      </w:r>
      <w:r>
        <w:rPr>
          <w:rFonts w:ascii="Times New Roman" w:eastAsia="仿宋_GB2312" w:hAnsi="Times New Roman" w:hint="eastAsia"/>
          <w:sz w:val="32"/>
          <w:szCs w:val="32"/>
        </w:rPr>
        <w:t>大岭花溪谷文旅小镇为平台，建设集宜居、生态、文创于一体的新城镇，承接中高端城市服务功能，发挥土地资源优势，承接长春市中端工业产业转移，打造未来长春国际汽车城重要的汽车配套工业承载区。</w:t>
      </w:r>
    </w:p>
    <w:p w14:paraId="41000A54" w14:textId="77777777" w:rsidR="00951CDE" w:rsidRPr="00951CDE" w:rsidRDefault="00C74794" w:rsidP="00951CDE">
      <w:pPr>
        <w:pBdr>
          <w:bottom w:val="single" w:sz="4" w:space="19" w:color="FFFFFF"/>
        </w:pBdr>
        <w:tabs>
          <w:tab w:val="left" w:pos="1440"/>
        </w:tabs>
        <w:ind w:firstLineChars="200" w:firstLine="643"/>
        <w:rPr>
          <w:rFonts w:ascii="Times New Roman" w:eastAsia="仿宋_GB2312" w:hAnsi="Times New Roman"/>
          <w:sz w:val="32"/>
          <w:szCs w:val="32"/>
        </w:rPr>
      </w:pPr>
      <w:r w:rsidRPr="00951CDE">
        <w:rPr>
          <w:rFonts w:ascii="Times New Roman" w:eastAsia="仿宋_GB2312" w:hAnsi="Times New Roman" w:hint="eastAsia"/>
          <w:b/>
          <w:bCs/>
          <w:sz w:val="32"/>
          <w:szCs w:val="32"/>
        </w:rPr>
        <w:t>协同创建长春国家区域创新中心拓展区。</w:t>
      </w:r>
      <w:r w:rsidRPr="00951CDE">
        <w:rPr>
          <w:rFonts w:ascii="Times New Roman" w:eastAsia="仿宋_GB2312" w:hAnsi="Times New Roman" w:hint="eastAsia"/>
          <w:sz w:val="32"/>
          <w:szCs w:val="32"/>
        </w:rPr>
        <w:t>以响水镇全域作为长春国家区域创新中心为主体，建设面积</w:t>
      </w:r>
      <w:r w:rsidRPr="00951CDE">
        <w:rPr>
          <w:rFonts w:ascii="Times New Roman" w:eastAsia="仿宋_GB2312" w:hAnsi="Times New Roman" w:hint="eastAsia"/>
          <w:sz w:val="32"/>
          <w:szCs w:val="32"/>
        </w:rPr>
        <w:t>50</w:t>
      </w:r>
      <w:r w:rsidRPr="00951CDE">
        <w:rPr>
          <w:rFonts w:ascii="Times New Roman" w:eastAsia="仿宋_GB2312" w:hAnsi="Times New Roman" w:hint="eastAsia"/>
          <w:sz w:val="32"/>
          <w:szCs w:val="32"/>
        </w:rPr>
        <w:t>平方公里，推进区域创新中心起步区建设，打通万泉大街、长春市永春快速路、范响路（</w:t>
      </w:r>
      <w:r w:rsidRPr="00951CDE">
        <w:rPr>
          <w:rFonts w:ascii="Times New Roman" w:eastAsia="仿宋_GB2312" w:hAnsi="Times New Roman" w:hint="eastAsia"/>
          <w:sz w:val="32"/>
          <w:szCs w:val="32"/>
        </w:rPr>
        <w:t>X063</w:t>
      </w:r>
      <w:r w:rsidRPr="00951CDE">
        <w:rPr>
          <w:rFonts w:ascii="Times New Roman" w:eastAsia="仿宋_GB2312" w:hAnsi="Times New Roman" w:hint="eastAsia"/>
          <w:sz w:val="32"/>
          <w:szCs w:val="32"/>
        </w:rPr>
        <w:t>县道）与京哈高速范家屯出口交通路网，建设高新智慧科创城、生物制药产业园、农业高新产业园、数字经济产业园、新兴产业科技园等“一城四园”，布局和培育发展生物医药、信息技术、汽车零部件等新产业，着</w:t>
      </w:r>
      <w:r w:rsidRPr="00951CDE">
        <w:rPr>
          <w:rFonts w:ascii="Times New Roman" w:eastAsia="仿宋_GB2312" w:hAnsi="Times New Roman" w:hint="eastAsia"/>
          <w:sz w:val="32"/>
          <w:szCs w:val="32"/>
        </w:rPr>
        <w:lastRenderedPageBreak/>
        <w:t>力建设国家科技创新高地、高新技术产业集聚区。到</w:t>
      </w:r>
      <w:r w:rsidRPr="00951CDE">
        <w:rPr>
          <w:rFonts w:ascii="Times New Roman" w:eastAsia="仿宋_GB2312" w:hAnsi="Times New Roman" w:hint="eastAsia"/>
          <w:sz w:val="32"/>
          <w:szCs w:val="32"/>
        </w:rPr>
        <w:t>2025</w:t>
      </w:r>
      <w:r w:rsidRPr="00951CDE">
        <w:rPr>
          <w:rFonts w:ascii="Times New Roman" w:eastAsia="仿宋_GB2312" w:hAnsi="Times New Roman" w:hint="eastAsia"/>
          <w:sz w:val="32"/>
          <w:szCs w:val="32"/>
        </w:rPr>
        <w:t>年，将响水镇建设成为产城融合、集约紧凑、生态持续的国际创新城区。</w:t>
      </w:r>
    </w:p>
    <w:tbl>
      <w:tblPr>
        <w:tblStyle w:val="af0"/>
        <w:tblW w:w="0" w:type="auto"/>
        <w:tblLook w:val="04A0" w:firstRow="1" w:lastRow="0" w:firstColumn="1" w:lastColumn="0" w:noHBand="0" w:noVBand="1"/>
      </w:tblPr>
      <w:tblGrid>
        <w:gridCol w:w="8296"/>
      </w:tblGrid>
      <w:tr w:rsidR="00501569" w14:paraId="36E4ED04" w14:textId="77777777" w:rsidTr="005717BE">
        <w:trPr>
          <w:trHeight w:val="1408"/>
        </w:trPr>
        <w:tc>
          <w:tcPr>
            <w:tcW w:w="8522" w:type="dxa"/>
          </w:tcPr>
          <w:p w14:paraId="39990611" w14:textId="77777777" w:rsidR="00501569" w:rsidRDefault="00501569">
            <w:pPr>
              <w:adjustRightInd w:val="0"/>
              <w:snapToGrid w:val="0"/>
              <w:spacing w:line="360" w:lineRule="auto"/>
              <w:jc w:val="center"/>
              <w:rPr>
                <w:rFonts w:ascii="楷体_GB2312" w:eastAsia="楷体_GB2312" w:hAnsi="楷体_GB2312" w:cs="楷体_GB2312"/>
                <w:b/>
                <w:sz w:val="10"/>
                <w:szCs w:val="10"/>
              </w:rPr>
            </w:pPr>
          </w:p>
          <w:p w14:paraId="3E8A93F1" w14:textId="77777777" w:rsidR="00501569" w:rsidRDefault="00C74794">
            <w:pPr>
              <w:adjustRightInd w:val="0"/>
              <w:snapToGrid w:val="0"/>
              <w:spacing w:line="36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专栏4：国际汽车城板块与创新中心板块重点项目</w:t>
            </w:r>
          </w:p>
          <w:p w14:paraId="655A4F41" w14:textId="77777777" w:rsidR="00501569" w:rsidRDefault="00C74794">
            <w:pPr>
              <w:adjustRightInd w:val="0"/>
              <w:snapToGrid w:val="0"/>
              <w:spacing w:line="360" w:lineRule="auto"/>
              <w:ind w:firstLineChars="200" w:firstLine="422"/>
              <w:rPr>
                <w:rFonts w:ascii="宋体" w:eastAsia="宋体" w:hAnsi="宋体" w:cs="Times New Roman"/>
              </w:rPr>
            </w:pPr>
            <w:r>
              <w:rPr>
                <w:rFonts w:ascii="宋体" w:eastAsia="宋体" w:hAnsi="宋体" w:hint="eastAsia"/>
                <w:b/>
                <w:szCs w:val="21"/>
              </w:rPr>
              <w:t>大岭汽车物流产业园区路网建设项目：</w:t>
            </w:r>
            <w:r>
              <w:rPr>
                <w:rFonts w:ascii="宋体" w:eastAsia="宋体" w:hAnsi="宋体" w:hint="eastAsia"/>
                <w:szCs w:val="21"/>
              </w:rPr>
              <w:t>总投资23.6亿元，主要建设内容包括甲四街等十九条路道路、人行道、照明、绿化、排水管线等全部配套设施。</w:t>
            </w:r>
          </w:p>
          <w:p w14:paraId="549F4E1F" w14:textId="77777777" w:rsidR="00501569" w:rsidRDefault="00C74794">
            <w:pPr>
              <w:adjustRightInd w:val="0"/>
              <w:snapToGrid w:val="0"/>
              <w:spacing w:line="360" w:lineRule="auto"/>
              <w:ind w:firstLineChars="200" w:firstLine="422"/>
              <w:rPr>
                <w:rFonts w:ascii="宋体" w:eastAsia="宋体" w:hAnsi="宋体" w:cs="Times New Roman"/>
                <w:bCs/>
                <w:szCs w:val="21"/>
              </w:rPr>
            </w:pPr>
            <w:r>
              <w:rPr>
                <w:rFonts w:ascii="宋体" w:eastAsia="宋体" w:hAnsi="宋体" w:cs="Times New Roman" w:hint="eastAsia"/>
                <w:b/>
                <w:szCs w:val="21"/>
              </w:rPr>
              <w:t>响水荣发蓝城特色小镇项目：</w:t>
            </w:r>
            <w:r>
              <w:rPr>
                <w:rFonts w:ascii="宋体" w:eastAsia="宋体" w:hAnsi="宋体" w:cs="Times New Roman" w:hint="eastAsia"/>
                <w:szCs w:val="21"/>
              </w:rPr>
              <w:t>总投资20亿元，占地面积</w:t>
            </w:r>
            <w:r>
              <w:rPr>
                <w:rFonts w:ascii="宋体" w:eastAsia="宋体" w:hAnsi="宋体" w:cs="Times New Roman"/>
                <w:szCs w:val="21"/>
              </w:rPr>
              <w:t>5平方公里，</w:t>
            </w:r>
            <w:r>
              <w:rPr>
                <w:rFonts w:ascii="宋体" w:eastAsia="宋体" w:hAnsi="宋体" w:cs="Times New Roman" w:hint="eastAsia"/>
                <w:szCs w:val="21"/>
              </w:rPr>
              <w:t>打造响水镇凤凰坨村，</w:t>
            </w:r>
            <w:r>
              <w:rPr>
                <w:rFonts w:ascii="宋体" w:eastAsia="宋体" w:hAnsi="宋体" w:cs="Times New Roman"/>
                <w:szCs w:val="21"/>
              </w:rPr>
              <w:t>建设宜居、宜养的</w:t>
            </w:r>
            <w:r>
              <w:rPr>
                <w:rFonts w:ascii="宋体" w:eastAsia="宋体" w:hAnsi="宋体" w:cs="Times New Roman" w:hint="eastAsia"/>
                <w:szCs w:val="21"/>
              </w:rPr>
              <w:t>、</w:t>
            </w:r>
            <w:r>
              <w:rPr>
                <w:rFonts w:ascii="宋体" w:eastAsia="宋体" w:hAnsi="宋体" w:cs="Times New Roman"/>
                <w:szCs w:val="21"/>
              </w:rPr>
              <w:t>具备原乡特色的现代新城。</w:t>
            </w:r>
          </w:p>
          <w:p w14:paraId="7E84EF79" w14:textId="77777777" w:rsidR="00501569" w:rsidRDefault="00C74794">
            <w:pPr>
              <w:adjustRightInd w:val="0"/>
              <w:snapToGrid w:val="0"/>
              <w:spacing w:line="360" w:lineRule="auto"/>
              <w:ind w:firstLineChars="200" w:firstLine="422"/>
              <w:rPr>
                <w:rFonts w:ascii="宋体" w:eastAsia="宋体" w:hAnsi="宋体" w:cs="仿宋"/>
                <w:szCs w:val="21"/>
              </w:rPr>
            </w:pPr>
            <w:r>
              <w:rPr>
                <w:rFonts w:ascii="宋体" w:eastAsia="宋体" w:hAnsi="宋体" w:hint="eastAsia"/>
                <w:b/>
                <w:szCs w:val="21"/>
              </w:rPr>
              <w:t>公主岭市环长经济发展带水务一体化项目工程：</w:t>
            </w:r>
            <w:r>
              <w:rPr>
                <w:rFonts w:ascii="宋体" w:eastAsia="宋体" w:hAnsi="宋体" w:hint="eastAsia"/>
                <w:szCs w:val="21"/>
              </w:rPr>
              <w:t>总投资6.65亿元，主要包括</w:t>
            </w:r>
            <w:r>
              <w:rPr>
                <w:rFonts w:ascii="宋体" w:eastAsia="宋体" w:hAnsi="宋体" w:cs="仿宋" w:hint="eastAsia"/>
                <w:szCs w:val="21"/>
              </w:rPr>
              <w:t>范家屯镇及公主岭经济开发区地区净水厂、配套给水管网、污水管网以及雨污水分流改造工程，大岭镇区及物流园区地区净水厂、配套给水管网、污水处理厂工程，响水镇及农业科技园区地区给水泵站、给水管网、污水管网工程。</w:t>
            </w:r>
          </w:p>
          <w:p w14:paraId="4CE3EA98" w14:textId="77777777" w:rsidR="00501569" w:rsidRDefault="00C74794">
            <w:pPr>
              <w:adjustRightInd w:val="0"/>
              <w:snapToGrid w:val="0"/>
              <w:spacing w:line="360" w:lineRule="auto"/>
              <w:ind w:firstLineChars="200" w:firstLine="422"/>
              <w:rPr>
                <w:rFonts w:ascii="宋体" w:eastAsia="宋体" w:hAnsi="宋体" w:cs="Times New Roman"/>
                <w:szCs w:val="21"/>
              </w:rPr>
            </w:pPr>
            <w:r>
              <w:rPr>
                <w:rFonts w:ascii="宋体" w:eastAsia="宋体" w:hAnsi="宋体" w:cs="Times New Roman" w:hint="eastAsia"/>
                <w:b/>
                <w:szCs w:val="21"/>
              </w:rPr>
              <w:t>公主岭市范家屯镇棚户区改造项目</w:t>
            </w:r>
            <w:r>
              <w:rPr>
                <w:rFonts w:ascii="宋体" w:eastAsia="宋体" w:hAnsi="宋体" w:hint="eastAsia"/>
                <w:b/>
                <w:szCs w:val="21"/>
              </w:rPr>
              <w:t>：</w:t>
            </w:r>
            <w:r>
              <w:rPr>
                <w:rFonts w:ascii="宋体" w:eastAsia="宋体" w:hAnsi="宋体" w:hint="eastAsia"/>
                <w:szCs w:val="21"/>
              </w:rPr>
              <w:t>总投资16.71亿元，</w:t>
            </w:r>
            <w:r>
              <w:rPr>
                <w:rFonts w:ascii="宋体" w:eastAsia="宋体" w:hAnsi="宋体" w:cs="Times New Roman" w:hint="eastAsia"/>
                <w:szCs w:val="21"/>
              </w:rPr>
              <w:t xml:space="preserve">项目占地126.33 </w:t>
            </w:r>
            <w:r w:rsidR="00951CDE">
              <w:rPr>
                <w:rFonts w:ascii="宋体" w:eastAsia="宋体" w:hAnsi="宋体" w:cs="Times New Roman" w:hint="eastAsia"/>
                <w:szCs w:val="21"/>
              </w:rPr>
              <w:t>公顷</w:t>
            </w:r>
            <w:r>
              <w:rPr>
                <w:rFonts w:ascii="宋体" w:eastAsia="宋体" w:hAnsi="宋体" w:cs="Times New Roman" w:hint="eastAsia"/>
                <w:szCs w:val="21"/>
              </w:rPr>
              <w:t>，改造棚户区4555户，改造面积36.44万平方米，回迁面积43.8万平方米</w:t>
            </w:r>
            <w:r>
              <w:rPr>
                <w:rFonts w:ascii="宋体" w:eastAsia="宋体" w:hAnsi="宋体" w:hint="eastAsia"/>
                <w:szCs w:val="21"/>
              </w:rPr>
              <w:t>。</w:t>
            </w:r>
          </w:p>
          <w:p w14:paraId="5EABA9F3" w14:textId="77777777" w:rsidR="00501569" w:rsidRDefault="00C74794">
            <w:pPr>
              <w:adjustRightInd w:val="0"/>
              <w:snapToGrid w:val="0"/>
              <w:spacing w:line="360" w:lineRule="auto"/>
              <w:ind w:firstLineChars="200" w:firstLine="422"/>
              <w:rPr>
                <w:rFonts w:ascii="宋体" w:eastAsia="宋体" w:hAnsi="宋体"/>
                <w:szCs w:val="21"/>
              </w:rPr>
            </w:pPr>
            <w:r>
              <w:rPr>
                <w:rFonts w:ascii="宋体" w:eastAsia="宋体" w:hAnsi="宋体" w:hint="eastAsia"/>
                <w:b/>
                <w:szCs w:val="21"/>
              </w:rPr>
              <w:t>范家屯镇区城市水系改造工程项目：</w:t>
            </w:r>
            <w:r>
              <w:rPr>
                <w:rFonts w:ascii="宋体" w:eastAsia="宋体" w:hAnsi="宋体" w:hint="eastAsia"/>
                <w:szCs w:val="21"/>
              </w:rPr>
              <w:t>总投资1.6亿元，主要包括范家屯镇区城市水系改造工程，一是南城河河道治理5850米，二是平洋河河道治理1588米。</w:t>
            </w:r>
          </w:p>
          <w:p w14:paraId="7AA3BC38"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医药产业园项目：</w:t>
            </w:r>
            <w:r>
              <w:rPr>
                <w:rFonts w:ascii="宋体" w:eastAsia="宋体" w:hAnsi="宋体" w:cs="宋体" w:hint="eastAsia"/>
                <w:szCs w:val="21"/>
              </w:rPr>
              <w:t>总投资30亿元，占地200公顷。打造医药物流中心，开发建设生物医药基地。</w:t>
            </w:r>
          </w:p>
          <w:p w14:paraId="7678B497"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吉林省坤圣园生态农业三期项目：</w:t>
            </w:r>
            <w:r>
              <w:rPr>
                <w:rFonts w:ascii="宋体" w:eastAsia="宋体" w:hAnsi="宋体" w:cs="宋体" w:hint="eastAsia"/>
                <w:szCs w:val="21"/>
              </w:rPr>
              <w:t>占地面积1.2</w:t>
            </w:r>
            <w:r w:rsidR="007C4A68">
              <w:rPr>
                <w:rFonts w:ascii="宋体" w:eastAsia="宋体" w:hAnsi="宋体" w:cs="宋体" w:hint="eastAsia"/>
                <w:szCs w:val="21"/>
              </w:rPr>
              <w:t>公顷</w:t>
            </w:r>
            <w:r>
              <w:rPr>
                <w:rFonts w:ascii="宋体" w:eastAsia="宋体" w:hAnsi="宋体" w:cs="宋体" w:hint="eastAsia"/>
                <w:szCs w:val="21"/>
              </w:rPr>
              <w:t>。包括蔬菜种植、食用菌种植、水果种植、果树种植、农作物种植，养殖，生物科技开发，技术转让，技术咨询，预包装食品批发零售。</w:t>
            </w:r>
          </w:p>
          <w:p w14:paraId="0FB4F5A0" w14:textId="77777777" w:rsidR="00501569" w:rsidRDefault="00C74794">
            <w:pPr>
              <w:adjustRightInd w:val="0"/>
              <w:snapToGrid w:val="0"/>
              <w:spacing w:line="360" w:lineRule="auto"/>
              <w:ind w:firstLineChars="200" w:firstLine="422"/>
              <w:rPr>
                <w:rFonts w:ascii="宋体" w:eastAsia="宋体" w:hAnsi="宋体"/>
                <w:szCs w:val="21"/>
              </w:rPr>
            </w:pPr>
            <w:r>
              <w:rPr>
                <w:rFonts w:ascii="宋体" w:eastAsia="宋体" w:hAnsi="宋体" w:hint="eastAsia"/>
                <w:b/>
                <w:szCs w:val="21"/>
              </w:rPr>
              <w:t>新凯河流域综合治理工程--河道水利防洪工程（公主岭市段）：</w:t>
            </w:r>
            <w:r>
              <w:rPr>
                <w:rFonts w:ascii="宋体" w:eastAsia="宋体" w:hAnsi="宋体" w:hint="eastAsia"/>
                <w:szCs w:val="21"/>
              </w:rPr>
              <w:t>总投资21.02亿元，主要治理新凯河左岸公主岭市段，治理内容包含河道拓宽疏浚工程、堤防工程堤防工程、生态护岸工程、排水涵闸工程、防洪桥工程。</w:t>
            </w:r>
          </w:p>
          <w:p w14:paraId="2C3FBCD7" w14:textId="77777777" w:rsidR="005717BE" w:rsidRPr="005717BE" w:rsidRDefault="005717BE" w:rsidP="00C74794">
            <w:pPr>
              <w:adjustRightInd w:val="0"/>
              <w:snapToGrid w:val="0"/>
              <w:spacing w:line="360" w:lineRule="auto"/>
              <w:ind w:firstLineChars="200" w:firstLine="201"/>
              <w:rPr>
                <w:rFonts w:ascii="宋体" w:eastAsia="宋体" w:hAnsi="宋体"/>
                <w:b/>
                <w:sz w:val="10"/>
                <w:szCs w:val="10"/>
              </w:rPr>
            </w:pPr>
          </w:p>
          <w:p w14:paraId="243C430C" w14:textId="77777777" w:rsidR="00501569" w:rsidRPr="00C74794" w:rsidRDefault="00C74794" w:rsidP="00C74794">
            <w:pPr>
              <w:adjustRightInd w:val="0"/>
              <w:snapToGrid w:val="0"/>
              <w:spacing w:line="360" w:lineRule="auto"/>
              <w:ind w:firstLineChars="200" w:firstLine="422"/>
              <w:rPr>
                <w:rFonts w:ascii="宋体" w:eastAsia="宋体" w:hAnsi="宋体"/>
                <w:szCs w:val="21"/>
              </w:rPr>
            </w:pPr>
            <w:r>
              <w:rPr>
                <w:rFonts w:ascii="宋体" w:eastAsia="宋体" w:hAnsi="宋体" w:hint="eastAsia"/>
                <w:b/>
                <w:szCs w:val="21"/>
              </w:rPr>
              <w:t>新凯河流域综合治理工程--河道生态修复工程（公主岭市段）：</w:t>
            </w:r>
            <w:r>
              <w:rPr>
                <w:rFonts w:ascii="宋体" w:eastAsia="宋体" w:hAnsi="宋体" w:hint="eastAsia"/>
                <w:szCs w:val="21"/>
              </w:rPr>
              <w:t>总投资14.9亿元，项目涉及新凯河流域综合治理工程，治理内容包含修建生态植草沟、改造生态支沟、滩地生态修复、修建滨河缓冲带、游步道、生态岛等。</w:t>
            </w:r>
          </w:p>
        </w:tc>
      </w:tr>
    </w:tbl>
    <w:p w14:paraId="07657B23" w14:textId="77777777" w:rsidR="00501569" w:rsidRPr="005717BE" w:rsidRDefault="00C74794" w:rsidP="0045498C">
      <w:pPr>
        <w:pBdr>
          <w:bottom w:val="single" w:sz="4" w:space="14" w:color="FFFFFF"/>
        </w:pBdr>
        <w:tabs>
          <w:tab w:val="left" w:pos="1440"/>
        </w:tabs>
        <w:spacing w:beforeLines="80" w:before="249" w:afterLines="50" w:after="156"/>
        <w:jc w:val="center"/>
        <w:outlineLvl w:val="1"/>
        <w:rPr>
          <w:rFonts w:ascii="楷体_GB2312" w:eastAsia="楷体_GB2312" w:hAnsi="楷体_GB2312" w:cs="楷体_GB2312"/>
          <w:b/>
          <w:bCs/>
          <w:sz w:val="32"/>
          <w:szCs w:val="32"/>
        </w:rPr>
      </w:pPr>
      <w:bookmarkStart w:id="20" w:name="_Toc19243"/>
      <w:bookmarkStart w:id="21" w:name="_Hlk57789406"/>
      <w:r w:rsidRPr="005717BE">
        <w:rPr>
          <w:rFonts w:ascii="楷体_GB2312" w:eastAsia="楷体_GB2312" w:hAnsi="楷体_GB2312" w:cs="楷体_GB2312" w:hint="eastAsia"/>
          <w:b/>
          <w:bCs/>
          <w:sz w:val="32"/>
          <w:szCs w:val="32"/>
        </w:rPr>
        <w:t>第四节 打造两大发展带</w:t>
      </w:r>
      <w:bookmarkEnd w:id="20"/>
    </w:p>
    <w:p w14:paraId="5B31A888" w14:textId="77777777" w:rsidR="00501569" w:rsidRDefault="00C74794" w:rsidP="00C44943">
      <w:pPr>
        <w:pBdr>
          <w:bottom w:val="single" w:sz="4" w:space="14" w:color="FFFFFF"/>
        </w:pBdr>
        <w:tabs>
          <w:tab w:val="left" w:pos="1440"/>
        </w:tabs>
        <w:ind w:firstLineChars="200" w:firstLine="640"/>
        <w:rPr>
          <w:rFonts w:ascii="仿宋_GB2312" w:eastAsia="仿宋_GB2312"/>
          <w:sz w:val="32"/>
          <w:szCs w:val="32"/>
        </w:rPr>
      </w:pPr>
      <w:r>
        <w:rPr>
          <w:rFonts w:ascii="仿宋_GB2312" w:eastAsia="仿宋_GB2312" w:hint="eastAsia"/>
          <w:sz w:val="32"/>
          <w:szCs w:val="32"/>
        </w:rPr>
        <w:lastRenderedPageBreak/>
        <w:t>围绕长双发展带和长平发展带，承接长春产业转移，发展装备制造、现代农业、文化旅游、商贸物流等产业，推动双翼共进，全面融入长春现代化都市圈和国内国际双循环新发展格局的战略大通道和产业大走廊。</w:t>
      </w:r>
    </w:p>
    <w:p w14:paraId="1B1B59CD" w14:textId="77777777" w:rsidR="00501569" w:rsidRDefault="00C74794" w:rsidP="00C44943">
      <w:pPr>
        <w:pBdr>
          <w:bottom w:val="single" w:sz="4" w:space="14" w:color="FFFFFF"/>
        </w:pBdr>
        <w:tabs>
          <w:tab w:val="left" w:pos="1440"/>
        </w:tabs>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构建长平发展带。</w:t>
      </w:r>
      <w:r>
        <w:rPr>
          <w:rFonts w:ascii="仿宋_GB2312" w:eastAsia="仿宋_GB2312" w:hAnsi="仿宋_GB2312" w:cs="仿宋_GB2312" w:hint="eastAsia"/>
          <w:bCs/>
          <w:sz w:val="32"/>
          <w:szCs w:val="32"/>
        </w:rPr>
        <w:t>围绕京哈高速公路沿线范家屯、陶家屯、刘房子、环岭、南崴子等乡镇（街道），聚焦现代服务业和开放合作，着力发展高端农业、商贸物流、智能制造、食品产业和特色旅游业，辐射带动响水、黑林子、朝阳坡、苇子沟、二十家子、龙山等乡镇和涉农街道发展。</w:t>
      </w:r>
    </w:p>
    <w:p w14:paraId="0350D2A3" w14:textId="77777777" w:rsidR="00501569" w:rsidRDefault="00C74794" w:rsidP="00C44943">
      <w:pPr>
        <w:pBdr>
          <w:bottom w:val="single" w:sz="4" w:space="14" w:color="FFFFFF"/>
        </w:pBdr>
        <w:tabs>
          <w:tab w:val="left" w:pos="1440"/>
        </w:tabs>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构建长深发展带。</w:t>
      </w:r>
      <w:r>
        <w:rPr>
          <w:rFonts w:ascii="仿宋_GB2312" w:eastAsia="仿宋_GB2312" w:hAnsi="仿宋_GB2312" w:cs="仿宋_GB2312" w:hint="eastAsia"/>
          <w:bCs/>
          <w:sz w:val="32"/>
          <w:szCs w:val="32"/>
        </w:rPr>
        <w:t>围绕长深高速公路沿线大岭、永发、怀德、秦家屯、八屋、十屋、桑树台等乡镇，聚焦农业农村现代化，着力发展规模效益农业、装备制造、农旅观光等产业，辐射带动双城堡、杨大城子、毛城子、玻璃城子、双龙、大榆树等乡镇发展。发挥怀德中心城镇和区域几何中心优势，以农业综合服务功能为主导，大力发展现代农业和畜牧加工业，推动棚膜蔬菜、杂粮杂豆等特色种植，提升中国油豆角之乡品牌知名度，扩大生猪、肉牛等特色养殖，建设现代农业示范区、特色农副产品集聚区。</w:t>
      </w:r>
    </w:p>
    <w:p w14:paraId="4EAD5D6D" w14:textId="77777777" w:rsidR="00501569" w:rsidRDefault="00C74794" w:rsidP="0045498C">
      <w:pPr>
        <w:pBdr>
          <w:bottom w:val="single" w:sz="4" w:space="14" w:color="FFFFFF"/>
        </w:pBdr>
        <w:tabs>
          <w:tab w:val="left" w:pos="1440"/>
        </w:tabs>
        <w:spacing w:beforeLines="50" w:before="156" w:afterLines="50" w:after="156"/>
        <w:jc w:val="center"/>
        <w:outlineLvl w:val="0"/>
        <w:rPr>
          <w:rFonts w:ascii="黑体" w:eastAsia="黑体" w:hAnsi="黑体" w:cs="黑体"/>
          <w:sz w:val="32"/>
          <w:szCs w:val="32"/>
        </w:rPr>
      </w:pPr>
      <w:bookmarkStart w:id="22" w:name="_Toc9111"/>
      <w:bookmarkEnd w:id="21"/>
      <w:r>
        <w:rPr>
          <w:rFonts w:ascii="黑体" w:eastAsia="黑体" w:hAnsi="黑体" w:cs="黑体" w:hint="eastAsia"/>
          <w:sz w:val="32"/>
          <w:szCs w:val="32"/>
        </w:rPr>
        <w:t>第三章</w:t>
      </w:r>
      <w:bookmarkEnd w:id="15"/>
      <w:r>
        <w:rPr>
          <w:rFonts w:ascii="黑体" w:eastAsia="黑体" w:hAnsi="黑体" w:cs="黑体" w:hint="eastAsia"/>
          <w:sz w:val="32"/>
          <w:szCs w:val="32"/>
        </w:rPr>
        <w:t xml:space="preserve"> 高质量发展“六大产业”，构建产业发展新格局</w:t>
      </w:r>
      <w:bookmarkStart w:id="23" w:name="_Toc4607"/>
      <w:bookmarkEnd w:id="22"/>
    </w:p>
    <w:p w14:paraId="6BE610DD" w14:textId="77777777" w:rsidR="00501569" w:rsidRDefault="00C74794" w:rsidP="00C44943">
      <w:pPr>
        <w:pBdr>
          <w:bottom w:val="single" w:sz="4" w:space="14" w:color="FFFFFF"/>
        </w:pBdr>
        <w:tabs>
          <w:tab w:val="left" w:pos="1440"/>
        </w:tabs>
        <w:adjustRightInd w:val="0"/>
        <w:ind w:firstLineChars="200" w:firstLine="640"/>
        <w:jc w:val="left"/>
        <w:rPr>
          <w:rFonts w:ascii="仿宋_GB2312" w:eastAsia="仿宋_GB2312" w:hAnsi="仿宋_GB2312" w:cs="仿宋_GB2312"/>
          <w:color w:val="000000"/>
          <w:sz w:val="32"/>
          <w:szCs w:val="32"/>
          <w:lang w:val="zh-TW"/>
        </w:rPr>
      </w:pPr>
      <w:r>
        <w:rPr>
          <w:rFonts w:ascii="仿宋_GB2312" w:eastAsia="仿宋_GB2312" w:hAnsi="仿宋_GB2312" w:cs="仿宋_GB2312" w:hint="eastAsia"/>
          <w:color w:val="000000"/>
          <w:sz w:val="32"/>
          <w:szCs w:val="32"/>
          <w:lang w:val="zh-TW" w:eastAsia="zh-TW"/>
        </w:rPr>
        <w:t>把提升全产业链水平作为主攻方向，</w:t>
      </w:r>
      <w:r>
        <w:rPr>
          <w:rFonts w:ascii="仿宋_GB2312" w:eastAsia="仿宋_GB2312" w:hAnsi="仿宋_GB2312" w:cs="仿宋_GB2312" w:hint="eastAsia"/>
          <w:sz w:val="32"/>
          <w:szCs w:val="32"/>
        </w:rPr>
        <w:t>以链条整合融合为抓手，</w:t>
      </w:r>
      <w:r>
        <w:rPr>
          <w:rFonts w:ascii="仿宋_GB2312" w:eastAsia="仿宋_GB2312" w:hAnsi="仿宋_GB2312" w:cs="仿宋_GB2312" w:hint="eastAsia"/>
          <w:color w:val="000000"/>
          <w:sz w:val="32"/>
          <w:szCs w:val="32"/>
          <w:lang w:val="zh-TW" w:eastAsia="zh-TW"/>
        </w:rPr>
        <w:t>高水平嵌入长春市</w:t>
      </w:r>
      <w:r>
        <w:rPr>
          <w:rFonts w:ascii="仿宋_GB2312" w:eastAsia="仿宋_GB2312" w:hAnsi="仿宋_GB2312" w:cs="仿宋_GB2312" w:hint="eastAsia"/>
          <w:color w:val="000000"/>
          <w:sz w:val="32"/>
          <w:szCs w:val="32"/>
          <w:lang w:val="zh-TW"/>
        </w:rPr>
        <w:t>“一个体系、四大板块、两大基地”</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sz w:val="32"/>
          <w:szCs w:val="32"/>
          <w:lang w:val="zh-TW"/>
        </w:rPr>
        <w:t>做大做强现代食品</w:t>
      </w:r>
      <w:r>
        <w:rPr>
          <w:rFonts w:ascii="仿宋_GB2312" w:eastAsia="仿宋_GB2312" w:hAnsi="仿宋_GB2312" w:cs="仿宋_GB2312" w:hint="eastAsia"/>
          <w:color w:val="000000"/>
          <w:sz w:val="32"/>
          <w:szCs w:val="32"/>
          <w:lang w:val="zh-TW" w:eastAsia="zh-TW"/>
        </w:rPr>
        <w:t>、</w:t>
      </w:r>
      <w:r>
        <w:rPr>
          <w:rFonts w:ascii="仿宋_GB2312" w:eastAsia="仿宋_GB2312" w:hAnsi="仿宋_GB2312" w:cs="仿宋_GB2312" w:hint="eastAsia"/>
          <w:color w:val="000000"/>
          <w:sz w:val="32"/>
          <w:szCs w:val="32"/>
          <w:lang w:val="zh-TW"/>
        </w:rPr>
        <w:t>装备制造</w:t>
      </w:r>
      <w:r>
        <w:rPr>
          <w:rFonts w:ascii="仿宋_GB2312" w:eastAsia="仿宋_GB2312" w:hAnsi="仿宋_GB2312" w:cs="仿宋_GB2312" w:hint="eastAsia"/>
          <w:color w:val="000000"/>
          <w:sz w:val="32"/>
          <w:szCs w:val="32"/>
          <w:lang w:val="zh-TW" w:eastAsia="zh-TW"/>
        </w:rPr>
        <w:t>、现代物流</w:t>
      </w:r>
      <w:r>
        <w:rPr>
          <w:rFonts w:ascii="仿宋_GB2312" w:eastAsia="仿宋_GB2312" w:hAnsi="仿宋_GB2312" w:cs="仿宋_GB2312" w:hint="eastAsia"/>
          <w:color w:val="000000"/>
          <w:sz w:val="32"/>
          <w:szCs w:val="32"/>
          <w:lang w:val="zh-TW"/>
        </w:rPr>
        <w:t>、现代种</w:t>
      </w:r>
      <w:r>
        <w:rPr>
          <w:rFonts w:ascii="仿宋_GB2312" w:eastAsia="仿宋_GB2312" w:hAnsi="仿宋_GB2312" w:cs="仿宋_GB2312" w:hint="eastAsia"/>
          <w:color w:val="000000"/>
          <w:sz w:val="32"/>
          <w:szCs w:val="32"/>
          <w:lang w:val="zh-TW"/>
        </w:rPr>
        <w:lastRenderedPageBreak/>
        <w:t>业、文旅和医药等</w:t>
      </w:r>
      <w:r>
        <w:rPr>
          <w:rFonts w:ascii="仿宋_GB2312" w:eastAsia="仿宋_GB2312" w:hAnsi="仿宋_GB2312" w:cs="仿宋_GB2312" w:hint="eastAsia"/>
          <w:color w:val="000000"/>
          <w:sz w:val="32"/>
          <w:szCs w:val="32"/>
        </w:rPr>
        <w:t>六</w:t>
      </w:r>
      <w:r>
        <w:rPr>
          <w:rFonts w:ascii="仿宋_GB2312" w:eastAsia="仿宋_GB2312" w:hAnsi="仿宋_GB2312" w:cs="仿宋_GB2312" w:hint="eastAsia"/>
          <w:color w:val="000000"/>
          <w:sz w:val="32"/>
          <w:szCs w:val="32"/>
          <w:lang w:val="zh-TW"/>
        </w:rPr>
        <w:t>大产业，</w:t>
      </w:r>
      <w:r>
        <w:rPr>
          <w:rFonts w:ascii="仿宋_GB2312" w:eastAsia="仿宋_GB2312" w:hAnsi="仿宋_GB2312" w:cs="仿宋_GB2312" w:hint="eastAsia"/>
          <w:sz w:val="32"/>
          <w:szCs w:val="32"/>
        </w:rPr>
        <w:t>实施产业转型升级“六大工程”，与长春市形成分工有序、布局合理、</w:t>
      </w:r>
      <w:r>
        <w:rPr>
          <w:rFonts w:ascii="仿宋_GB2312" w:eastAsia="仿宋_GB2312" w:hAnsi="仿宋_GB2312" w:cs="仿宋_GB2312" w:hint="eastAsia"/>
          <w:color w:val="000000"/>
          <w:sz w:val="32"/>
          <w:szCs w:val="32"/>
          <w:lang w:val="zh-TW"/>
        </w:rPr>
        <w:t>错位发展、互动融合的产业一体化发展新格局。</w:t>
      </w:r>
    </w:p>
    <w:p w14:paraId="7421DF33" w14:textId="77777777" w:rsidR="00501569" w:rsidRPr="005717BE" w:rsidRDefault="00C74794" w:rsidP="0045498C">
      <w:pPr>
        <w:pBdr>
          <w:bottom w:val="single" w:sz="4" w:space="14" w:color="FFFFFF"/>
        </w:pBdr>
        <w:tabs>
          <w:tab w:val="left" w:pos="1440"/>
        </w:tabs>
        <w:adjustRightInd w:val="0"/>
        <w:spacing w:beforeLines="50" w:before="156" w:afterLines="50" w:after="156"/>
        <w:jc w:val="center"/>
        <w:outlineLvl w:val="1"/>
        <w:rPr>
          <w:rFonts w:ascii="楷体_GB2312" w:eastAsia="楷体_GB2312" w:hAnsi="楷体_GB2312" w:cs="楷体_GB2312"/>
          <w:b/>
          <w:bCs/>
          <w:color w:val="000000"/>
          <w:sz w:val="32"/>
          <w:szCs w:val="32"/>
          <w:lang w:val="zh-TW"/>
        </w:rPr>
      </w:pPr>
      <w:bookmarkStart w:id="24" w:name="_Toc19912"/>
      <w:r w:rsidRPr="005717BE">
        <w:rPr>
          <w:rFonts w:ascii="楷体_GB2312" w:eastAsia="楷体_GB2312" w:hAnsi="楷体_GB2312" w:cs="楷体_GB2312" w:hint="eastAsia"/>
          <w:b/>
          <w:bCs/>
          <w:color w:val="000000"/>
          <w:sz w:val="32"/>
          <w:szCs w:val="32"/>
          <w:lang w:val="zh-TW"/>
        </w:rPr>
        <w:t>第一节</w:t>
      </w:r>
      <w:r w:rsidRPr="005717BE">
        <w:rPr>
          <w:rFonts w:ascii="楷体_GB2312" w:eastAsia="楷体_GB2312" w:hAnsi="楷体_GB2312" w:cs="楷体_GB2312" w:hint="eastAsia"/>
          <w:b/>
          <w:bCs/>
          <w:color w:val="000000"/>
          <w:sz w:val="32"/>
          <w:szCs w:val="32"/>
        </w:rPr>
        <w:t xml:space="preserve"> </w:t>
      </w:r>
      <w:r w:rsidRPr="005717BE">
        <w:rPr>
          <w:rFonts w:ascii="楷体_GB2312" w:eastAsia="楷体_GB2312" w:hAnsi="楷体_GB2312" w:cs="楷体_GB2312" w:hint="eastAsia"/>
          <w:b/>
          <w:bCs/>
          <w:color w:val="000000"/>
          <w:sz w:val="32"/>
          <w:szCs w:val="32"/>
          <w:lang w:val="zh-TW"/>
        </w:rPr>
        <w:t>实施现代食品产业壮大提高工程</w:t>
      </w:r>
      <w:bookmarkEnd w:id="24"/>
    </w:p>
    <w:p w14:paraId="527C9D8A" w14:textId="77777777" w:rsidR="00501569" w:rsidRDefault="00C74794" w:rsidP="00C44943">
      <w:pPr>
        <w:pBdr>
          <w:bottom w:val="single" w:sz="4" w:space="14" w:color="FFFFFF"/>
        </w:pBdr>
        <w:tabs>
          <w:tab w:val="left" w:pos="1440"/>
        </w:tabs>
        <w:adjustRightInd w:val="0"/>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lang w:val="zh-TW"/>
        </w:rPr>
        <w:t>坚</w:t>
      </w:r>
      <w:r>
        <w:rPr>
          <w:rFonts w:ascii="仿宋_GB2312" w:eastAsia="仿宋_GB2312" w:hAnsi="仿宋_GB2312" w:cs="仿宋_GB2312" w:hint="eastAsia"/>
          <w:bCs/>
          <w:sz w:val="32"/>
          <w:szCs w:val="32"/>
        </w:rPr>
        <w:t>持绿色有机和精深加工方向，</w:t>
      </w:r>
      <w:r>
        <w:rPr>
          <w:rFonts w:ascii="仿宋_GB2312" w:eastAsia="仿宋_GB2312" w:hAnsi="仿宋_GB2312" w:cs="仿宋_GB2312" w:hint="eastAsia"/>
          <w:sz w:val="32"/>
          <w:szCs w:val="32"/>
        </w:rPr>
        <w:t>构建玉米食品、绿色健康食品和肉禽食品加工产业体系，实现“增品种、提品质、创品牌”，打造国家级农产品和绿色有机食品产业基地。到2025年，全市规上</w:t>
      </w:r>
      <w:r>
        <w:rPr>
          <w:rFonts w:ascii="仿宋_GB2312" w:eastAsia="仿宋_GB2312" w:hAnsi="仿宋_GB2312" w:cs="仿宋_GB2312" w:hint="eastAsia"/>
          <w:bCs/>
          <w:sz w:val="32"/>
          <w:szCs w:val="32"/>
        </w:rPr>
        <w:t>食品工业企业</w:t>
      </w:r>
      <w:r>
        <w:rPr>
          <w:rFonts w:ascii="仿宋_GB2312" w:eastAsia="仿宋_GB2312" w:hAnsi="仿宋_GB2312" w:cs="仿宋_GB2312" w:hint="eastAsia"/>
          <w:sz w:val="32"/>
          <w:szCs w:val="32"/>
        </w:rPr>
        <w:t>达到50户，实现工业产值80亿元，比“十三五”末增长50%左右。</w:t>
      </w:r>
    </w:p>
    <w:p w14:paraId="11B49446" w14:textId="77777777" w:rsidR="00501569" w:rsidRDefault="00C74794" w:rsidP="00C44943">
      <w:pPr>
        <w:pBdr>
          <w:bottom w:val="single" w:sz="4" w:space="14" w:color="FFFFFF"/>
        </w:pBdr>
        <w:tabs>
          <w:tab w:val="left" w:pos="1440"/>
        </w:tabs>
        <w:adjustRightInd w:val="0"/>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sz w:val="32"/>
          <w:szCs w:val="32"/>
        </w:rPr>
        <w:t>改造提升玉米深加工产业。</w:t>
      </w:r>
      <w:r>
        <w:rPr>
          <w:rFonts w:ascii="仿宋_GB2312" w:eastAsia="仿宋_GB2312" w:hAnsi="仿宋_GB2312" w:cs="仿宋_GB2312" w:hint="eastAsia"/>
          <w:bCs/>
          <w:sz w:val="32"/>
          <w:szCs w:val="32"/>
        </w:rPr>
        <w:t>打好公主岭玉米和鲜食玉米品牌</w:t>
      </w:r>
      <w:r>
        <w:rPr>
          <w:rFonts w:ascii="仿宋_GB2312" w:eastAsia="仿宋_GB2312" w:hAnsi="仿宋_GB2312" w:cs="仿宋_GB2312" w:hint="eastAsia"/>
          <w:sz w:val="32"/>
          <w:szCs w:val="32"/>
        </w:rPr>
        <w:t>，建设国家级全株玉米经济产业示范基地</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发挥黄金玉米带资源优势和中粮、黄龙公司玉米深加工品牌优势，积极推进岭东农副产品精深加工产业园建设，创新开发以玉米为原料的食品、饮品、保健品，向国内国际高端品牌发展。支持恒昌、九正、健亿农业、绿健特等生产玉米黄金米、玉米须茶、玉米面条、黑五类杂粮制品的企业向粗粮精作、健康保健方向发展，开发综合食疗保健新配方。依托农嫂、德乐、祥裕、吉农绿色等为龙头的鲜食玉米加工企业，建设玉米特色食品产业园，形成鲜食玉米“基地种植+产品加工+电商营销”全产业链发展模式。</w:t>
      </w:r>
      <w:r>
        <w:rPr>
          <w:rFonts w:ascii="仿宋_GB2312" w:eastAsia="仿宋_GB2312" w:hAnsi="仿宋_GB2312" w:cs="仿宋_GB2312" w:hint="eastAsia"/>
          <w:bCs/>
          <w:sz w:val="32"/>
          <w:szCs w:val="32"/>
        </w:rPr>
        <w:t>鼓励</w:t>
      </w:r>
      <w:r>
        <w:rPr>
          <w:rFonts w:ascii="仿宋_GB2312" w:eastAsia="仿宋_GB2312" w:hAnsi="仿宋_GB2312" w:cs="仿宋_GB2312" w:hint="eastAsia"/>
          <w:sz w:val="32"/>
          <w:szCs w:val="32"/>
        </w:rPr>
        <w:t>发展玉米麦芽糊精、玉米变性淀粉和果葡糖浆等专用淀粉（糖）产品,推动企业提高产能。</w:t>
      </w:r>
    </w:p>
    <w:p w14:paraId="57A8EC70" w14:textId="77777777" w:rsidR="00501569" w:rsidRDefault="00C74794" w:rsidP="00C44943">
      <w:pPr>
        <w:pBdr>
          <w:bottom w:val="single" w:sz="4" w:space="14" w:color="FFFFFF"/>
        </w:pBdr>
        <w:tabs>
          <w:tab w:val="left" w:pos="1440"/>
        </w:tabs>
        <w:adjustRightInd w:val="0"/>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sz w:val="32"/>
          <w:szCs w:val="32"/>
        </w:rPr>
        <w:lastRenderedPageBreak/>
        <w:t>发展壮大绿色健康食品产业。</w:t>
      </w:r>
      <w:r>
        <w:rPr>
          <w:rFonts w:ascii="仿宋_GB2312" w:eastAsia="仿宋_GB2312" w:hAnsi="仿宋_GB2312" w:cs="仿宋_GB2312" w:hint="eastAsia"/>
          <w:sz w:val="32"/>
          <w:szCs w:val="32"/>
        </w:rPr>
        <w:t>以绿色、健康理念为引领，围绕</w:t>
      </w:r>
      <w:r>
        <w:rPr>
          <w:rFonts w:ascii="仿宋_GB2312" w:eastAsia="仿宋_GB2312" w:hAnsi="仿宋_GB2312" w:cs="仿宋_GB2312"/>
          <w:sz w:val="32"/>
          <w:szCs w:val="32"/>
        </w:rPr>
        <w:t>市场需求</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生产</w:t>
      </w:r>
      <w:r>
        <w:rPr>
          <w:rFonts w:ascii="仿宋_GB2312" w:eastAsia="仿宋_GB2312" w:hAnsi="仿宋_GB2312" w:cs="仿宋_GB2312" w:hint="eastAsia"/>
          <w:sz w:val="32"/>
          <w:szCs w:val="32"/>
        </w:rPr>
        <w:t>可以</w:t>
      </w:r>
      <w:r>
        <w:rPr>
          <w:rFonts w:ascii="仿宋_GB2312" w:eastAsia="仿宋_GB2312" w:hAnsi="仿宋_GB2312" w:cs="仿宋_GB2312"/>
          <w:sz w:val="32"/>
          <w:szCs w:val="32"/>
        </w:rPr>
        <w:t>直接进餐桌、进厨房、</w:t>
      </w:r>
      <w:r>
        <w:rPr>
          <w:rFonts w:ascii="仿宋_GB2312" w:eastAsia="仿宋_GB2312" w:hAnsi="仿宋_GB2312" w:cs="仿宋_GB2312" w:hint="eastAsia"/>
          <w:sz w:val="32"/>
          <w:szCs w:val="32"/>
        </w:rPr>
        <w:t>进超市</w:t>
      </w:r>
      <w:r>
        <w:rPr>
          <w:rFonts w:ascii="仿宋_GB2312" w:eastAsia="仿宋_GB2312" w:hAnsi="仿宋_GB2312" w:cs="仿宋_GB2312"/>
          <w:sz w:val="32"/>
          <w:szCs w:val="32"/>
        </w:rPr>
        <w:t>的无公害绿色有机食品</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供应长春及周边市场。</w:t>
      </w:r>
      <w:r>
        <w:rPr>
          <w:rFonts w:ascii="仿宋_GB2312" w:eastAsia="仿宋_GB2312" w:hAnsi="仿宋_GB2312" w:cs="仿宋_GB2312" w:hint="eastAsia"/>
          <w:sz w:val="32"/>
          <w:szCs w:val="32"/>
        </w:rPr>
        <w:t>以金泰米业、金凯乐等企业为龙头，推动稻米产业向精品化、品牌化提升。借助吉林省农业科学院水稻品种优势，在南崴子街道等重点乡镇规划建设水稻产业示范园，打造“公主岭大米”地标性优质水稻产品。培育发展饮品制造产业，支持申家酒坊、新怀德、龙王泉、兴隆泉</w:t>
      </w:r>
      <w:r w:rsidR="009B2780">
        <w:rPr>
          <w:rFonts w:ascii="仿宋_GB2312" w:eastAsia="仿宋_GB2312" w:hAnsi="仿宋_GB2312" w:cs="仿宋_GB2312" w:hint="eastAsia"/>
          <w:sz w:val="32"/>
          <w:szCs w:val="32"/>
        </w:rPr>
        <w:t>、筠鸿</w:t>
      </w:r>
      <w:r>
        <w:rPr>
          <w:rFonts w:ascii="仿宋_GB2312" w:eastAsia="仿宋_GB2312" w:hAnsi="仿宋_GB2312" w:cs="仿宋_GB2312" w:hint="eastAsia"/>
          <w:sz w:val="32"/>
          <w:szCs w:val="32"/>
        </w:rPr>
        <w:t>等白酒、饮用水、蓝莓汁饮料生产企业利用先进技术，发展高端、保健及多功能酒水饮品。引进国际、国内食品行业知名品牌，鼓励和支持食品企业提升智能化水平，打造食品产业园。</w:t>
      </w:r>
    </w:p>
    <w:p w14:paraId="06836892" w14:textId="77777777" w:rsidR="00501569" w:rsidRDefault="00C74794" w:rsidP="00C44943">
      <w:pPr>
        <w:pBdr>
          <w:bottom w:val="single" w:sz="4" w:space="14" w:color="FFFFFF"/>
        </w:pBdr>
        <w:tabs>
          <w:tab w:val="left" w:pos="1440"/>
        </w:tabs>
        <w:adjustRightInd w:val="0"/>
        <w:ind w:firstLineChars="200" w:firstLine="643"/>
        <w:jc w:val="left"/>
      </w:pPr>
      <w:r>
        <w:rPr>
          <w:rFonts w:ascii="仿宋_GB2312" w:eastAsia="仿宋_GB2312" w:hAnsi="仿宋_GB2312" w:cs="仿宋_GB2312" w:hint="eastAsia"/>
          <w:b/>
          <w:bCs/>
          <w:sz w:val="32"/>
          <w:szCs w:val="32"/>
        </w:rPr>
        <w:t>加快发展肉禽食品加工产业。</w:t>
      </w:r>
      <w:r>
        <w:rPr>
          <w:rFonts w:ascii="仿宋_GB2312" w:eastAsia="仿宋_GB2312" w:hAnsi="仿宋_GB2312" w:cs="仿宋_GB2312" w:hint="eastAsia"/>
          <w:sz w:val="32"/>
          <w:szCs w:val="32"/>
        </w:rPr>
        <w:t>面向长春大型市场，做长肉禽食品链条，鼓励高金、美泽公司等肉畜加工企业拓展产品功能，探索开发功能性及特殊人群的膳食畜产品，发展调理肉、休闲肉、配餐肉制品、高低温熟食等肉禽加工制品，提高加工精深度，增强国内外出口和市场占有率。实施“全链条、全利用”产品开发战略，重点扶持高金食品、博泽牧业、圣丰牧业、双鸿鸽业等龙头企业，形成畜产品加工产业集群，提高畜产品本地加工率，增加产品附加值。推动肉禽加工企业技术升级，创建绿色、安全、优质的知名品牌。</w:t>
      </w:r>
    </w:p>
    <w:tbl>
      <w:tblPr>
        <w:tblW w:w="8309"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9"/>
      </w:tblGrid>
      <w:tr w:rsidR="00501569" w14:paraId="24F367FB" w14:textId="77777777" w:rsidTr="00430523">
        <w:trPr>
          <w:trHeight w:val="8637"/>
        </w:trPr>
        <w:tc>
          <w:tcPr>
            <w:tcW w:w="8309" w:type="dxa"/>
          </w:tcPr>
          <w:p w14:paraId="7A4F6162" w14:textId="77777777" w:rsidR="00C44943" w:rsidRPr="00C44943" w:rsidRDefault="00C44943">
            <w:pPr>
              <w:adjustRightInd w:val="0"/>
              <w:snapToGrid w:val="0"/>
              <w:spacing w:line="360" w:lineRule="auto"/>
              <w:jc w:val="center"/>
              <w:rPr>
                <w:rFonts w:ascii="楷体_GB2312" w:eastAsia="楷体_GB2312" w:hAnsi="楷体_GB2312" w:cs="楷体_GB2312"/>
                <w:b/>
                <w:sz w:val="10"/>
                <w:szCs w:val="10"/>
              </w:rPr>
            </w:pPr>
          </w:p>
          <w:p w14:paraId="5257DD38" w14:textId="77777777" w:rsidR="00501569" w:rsidRDefault="00C74794">
            <w:pPr>
              <w:adjustRightInd w:val="0"/>
              <w:snapToGrid w:val="0"/>
              <w:spacing w:line="36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专栏5：食品产业重点项目</w:t>
            </w:r>
          </w:p>
          <w:p w14:paraId="0FCE877C" w14:textId="77777777" w:rsidR="00501569" w:rsidRDefault="00C74794">
            <w:pPr>
              <w:adjustRightInd w:val="0"/>
              <w:snapToGrid w:val="0"/>
              <w:spacing w:line="360" w:lineRule="auto"/>
              <w:ind w:firstLineChars="200" w:firstLine="422"/>
              <w:rPr>
                <w:rFonts w:ascii="宋体" w:eastAsia="宋体" w:hAnsi="宋体"/>
                <w:szCs w:val="21"/>
              </w:rPr>
            </w:pPr>
            <w:r>
              <w:rPr>
                <w:rFonts w:ascii="宋体" w:eastAsia="宋体" w:hAnsi="宋体" w:cs="宋体" w:hint="eastAsia"/>
                <w:b/>
                <w:bCs/>
                <w:szCs w:val="21"/>
              </w:rPr>
              <w:t>食品产业园及配套基础设施建设项目：</w:t>
            </w:r>
            <w:r>
              <w:rPr>
                <w:rFonts w:ascii="宋体" w:eastAsia="宋体" w:hAnsi="宋体" w:cs="宋体" w:hint="eastAsia"/>
                <w:bCs/>
                <w:szCs w:val="21"/>
              </w:rPr>
              <w:t>总投资10.17亿元</w:t>
            </w:r>
            <w:r>
              <w:rPr>
                <w:rFonts w:ascii="宋体" w:eastAsia="宋体" w:hAnsi="宋体" w:hint="eastAsia"/>
                <w:szCs w:val="21"/>
              </w:rPr>
              <w:t>，要建设生产车间</w:t>
            </w:r>
            <w:r>
              <w:rPr>
                <w:rFonts w:ascii="宋体" w:eastAsia="宋体" w:hAnsi="宋体"/>
                <w:szCs w:val="21"/>
              </w:rPr>
              <w:t>46</w:t>
            </w:r>
            <w:r>
              <w:rPr>
                <w:rFonts w:ascii="宋体" w:eastAsia="宋体" w:hAnsi="宋体" w:hint="eastAsia"/>
                <w:szCs w:val="21"/>
              </w:rPr>
              <w:t>栋，库房1</w:t>
            </w:r>
            <w:r>
              <w:rPr>
                <w:rFonts w:ascii="宋体" w:eastAsia="宋体" w:hAnsi="宋体"/>
                <w:szCs w:val="21"/>
              </w:rPr>
              <w:t>0</w:t>
            </w:r>
            <w:r>
              <w:rPr>
                <w:rFonts w:ascii="宋体" w:eastAsia="宋体" w:hAnsi="宋体" w:hint="eastAsia"/>
                <w:szCs w:val="21"/>
              </w:rPr>
              <w:t>栋，1号综合服务楼1栋，2号综合服务楼1栋，研发检测中心1栋、宿舍1栋，食堂1栋，设备及附属用房1栋。</w:t>
            </w:r>
          </w:p>
          <w:p w14:paraId="0130673C" w14:textId="751F4F90" w:rsidR="00501569" w:rsidRDefault="00C74794">
            <w:pPr>
              <w:adjustRightInd w:val="0"/>
              <w:snapToGrid w:val="0"/>
              <w:spacing w:line="360" w:lineRule="auto"/>
              <w:ind w:firstLineChars="200" w:firstLine="422"/>
              <w:rPr>
                <w:rFonts w:ascii="宋体" w:eastAsia="宋体" w:hAnsi="宋体" w:cs="宋体"/>
                <w:bCs/>
                <w:szCs w:val="21"/>
              </w:rPr>
            </w:pPr>
            <w:r>
              <w:rPr>
                <w:rFonts w:ascii="宋体" w:eastAsia="宋体" w:hAnsi="宋体" w:cs="宋体" w:hint="eastAsia"/>
                <w:b/>
                <w:szCs w:val="21"/>
              </w:rPr>
              <w:t>农副产品精深加工产业园：</w:t>
            </w:r>
            <w:r w:rsidRPr="00830025">
              <w:rPr>
                <w:rFonts w:ascii="宋体" w:eastAsia="宋体" w:hAnsi="宋体" w:hint="eastAsia"/>
                <w:szCs w:val="21"/>
              </w:rPr>
              <w:t>总投资40亿元，建设农副产品精深加工的产业基地，</w:t>
            </w:r>
            <w:r w:rsidR="00830025" w:rsidRPr="00830025">
              <w:rPr>
                <w:rFonts w:ascii="宋体" w:eastAsia="宋体" w:hAnsi="宋体" w:hint="eastAsia"/>
                <w:szCs w:val="21"/>
              </w:rPr>
              <w:t>主要发展生态农业、食品加工业和农副产品深加工业</w:t>
            </w:r>
            <w:r w:rsidR="00830025" w:rsidRPr="00830025">
              <w:rPr>
                <w:rFonts w:ascii="宋体" w:eastAsia="宋体" w:hAnsi="宋体" w:hint="eastAsia"/>
                <w:szCs w:val="21"/>
              </w:rPr>
              <w:t>。</w:t>
            </w:r>
          </w:p>
          <w:p w14:paraId="38F50B57" w14:textId="77777777" w:rsidR="00501569" w:rsidRDefault="00C74794">
            <w:pPr>
              <w:adjustRightInd w:val="0"/>
              <w:snapToGrid w:val="0"/>
              <w:spacing w:line="360" w:lineRule="auto"/>
              <w:ind w:firstLineChars="200" w:firstLine="422"/>
              <w:rPr>
                <w:rFonts w:ascii="宋体" w:eastAsia="宋体" w:hAnsi="宋体" w:cs="宋体"/>
                <w:bCs/>
                <w:szCs w:val="21"/>
              </w:rPr>
            </w:pPr>
            <w:r>
              <w:rPr>
                <w:rFonts w:ascii="宋体" w:eastAsia="宋体" w:hAnsi="宋体" w:cs="宋体" w:hint="eastAsia"/>
                <w:b/>
                <w:szCs w:val="21"/>
              </w:rPr>
              <w:t>水稻产业示范园：</w:t>
            </w:r>
            <w:r>
              <w:rPr>
                <w:rFonts w:ascii="宋体" w:eastAsia="宋体" w:hAnsi="宋体" w:cs="宋体" w:hint="eastAsia"/>
                <w:bCs/>
                <w:szCs w:val="21"/>
              </w:rPr>
              <w:t>在南崴子街道，以种业和稻米加工业为主，发展10家较大型稻米加工企业，形成以金泰米业、金凯乐米业、宝丰米业等以稻米加工为主的产业集群，年加工稻米70万吨。</w:t>
            </w:r>
          </w:p>
          <w:p w14:paraId="2BC0D855" w14:textId="77777777" w:rsidR="00501569" w:rsidRDefault="00C74794">
            <w:pPr>
              <w:adjustRightInd w:val="0"/>
              <w:snapToGrid w:val="0"/>
              <w:spacing w:line="360" w:lineRule="auto"/>
              <w:ind w:firstLineChars="200" w:firstLine="422"/>
            </w:pPr>
            <w:r>
              <w:rPr>
                <w:rFonts w:ascii="宋体" w:eastAsia="宋体" w:hAnsi="宋体" w:cs="宋体" w:hint="eastAsia"/>
                <w:b/>
                <w:szCs w:val="21"/>
              </w:rPr>
              <w:t>年</w:t>
            </w:r>
            <w:r>
              <w:rPr>
                <w:rFonts w:ascii="宋体" w:eastAsia="宋体" w:hAnsi="宋体" w:cs="宋体"/>
                <w:b/>
                <w:szCs w:val="21"/>
              </w:rPr>
              <w:t>产100万吨玉米全籽粒高附加值综合利用健康产品项</w:t>
            </w:r>
            <w:r>
              <w:rPr>
                <w:rFonts w:ascii="宋体" w:eastAsia="宋体" w:hAnsi="宋体" w:cs="宋体" w:hint="eastAsia"/>
                <w:b/>
                <w:szCs w:val="21"/>
              </w:rPr>
              <w:t>目：</w:t>
            </w:r>
            <w:r>
              <w:rPr>
                <w:rFonts w:ascii="宋体" w:eastAsia="宋体" w:hAnsi="宋体" w:cs="宋体"/>
                <w:bCs/>
                <w:szCs w:val="21"/>
              </w:rPr>
              <w:t>总投资28 亿元，固定资产投资 19 亿元，其中设备投入10 亿元。主要产品为玉米功能食品</w:t>
            </w:r>
            <w:r>
              <w:rPr>
                <w:rFonts w:ascii="宋体" w:eastAsia="宋体" w:hAnsi="宋体" w:cs="宋体" w:hint="eastAsia"/>
                <w:bCs/>
                <w:szCs w:val="21"/>
              </w:rPr>
              <w:t>、</w:t>
            </w:r>
            <w:r>
              <w:rPr>
                <w:rFonts w:ascii="宋体" w:eastAsia="宋体" w:hAnsi="宋体" w:cs="宋体"/>
                <w:bCs/>
                <w:szCs w:val="21"/>
              </w:rPr>
              <w:t>玉米系列餐桌健康食品</w:t>
            </w:r>
            <w:r>
              <w:rPr>
                <w:rFonts w:ascii="宋体" w:eastAsia="宋体" w:hAnsi="宋体" w:cs="宋体" w:hint="eastAsia"/>
                <w:bCs/>
                <w:szCs w:val="21"/>
              </w:rPr>
              <w:t>、</w:t>
            </w:r>
            <w:r>
              <w:rPr>
                <w:rFonts w:ascii="宋体" w:eastAsia="宋体" w:hAnsi="宋体" w:cs="宋体"/>
                <w:bCs/>
                <w:szCs w:val="21"/>
              </w:rPr>
              <w:t>玉米休闲食品</w:t>
            </w:r>
            <w:r>
              <w:rPr>
                <w:rFonts w:ascii="宋体" w:eastAsia="宋体" w:hAnsi="宋体" w:cs="宋体" w:hint="eastAsia"/>
                <w:bCs/>
                <w:szCs w:val="21"/>
              </w:rPr>
              <w:t>、</w:t>
            </w:r>
            <w:r>
              <w:rPr>
                <w:rFonts w:ascii="宋体" w:eastAsia="宋体" w:hAnsi="宋体" w:cs="宋体"/>
                <w:bCs/>
                <w:szCs w:val="21"/>
              </w:rPr>
              <w:t>玉米</w:t>
            </w:r>
            <w:r>
              <w:rPr>
                <w:rFonts w:ascii="宋体" w:eastAsia="宋体" w:hAnsi="宋体" w:cs="宋体" w:hint="eastAsia"/>
                <w:bCs/>
                <w:szCs w:val="21"/>
              </w:rPr>
              <w:t>冷饮食品、</w:t>
            </w:r>
            <w:r>
              <w:rPr>
                <w:rFonts w:ascii="宋体" w:eastAsia="宋体" w:hAnsi="宋体" w:cs="宋体"/>
                <w:bCs/>
                <w:szCs w:val="21"/>
              </w:rPr>
              <w:t>玉米焙烤食品</w:t>
            </w:r>
            <w:r>
              <w:rPr>
                <w:rFonts w:ascii="宋体" w:eastAsia="宋体" w:hAnsi="宋体" w:cs="宋体" w:hint="eastAsia"/>
                <w:bCs/>
                <w:szCs w:val="21"/>
              </w:rPr>
              <w:t>、</w:t>
            </w:r>
            <w:r>
              <w:rPr>
                <w:rFonts w:ascii="宋体" w:eastAsia="宋体" w:hAnsi="宋体" w:cs="宋体"/>
                <w:bCs/>
                <w:szCs w:val="21"/>
              </w:rPr>
              <w:t>玉米营养色拉油</w:t>
            </w:r>
            <w:r>
              <w:rPr>
                <w:rFonts w:ascii="宋体" w:eastAsia="宋体" w:hAnsi="宋体" w:cs="宋体" w:hint="eastAsia"/>
                <w:bCs/>
                <w:szCs w:val="21"/>
              </w:rPr>
              <w:t>、</w:t>
            </w:r>
            <w:r>
              <w:rPr>
                <w:rFonts w:ascii="宋体" w:eastAsia="宋体" w:hAnsi="宋体" w:cs="宋体"/>
                <w:bCs/>
                <w:szCs w:val="21"/>
              </w:rPr>
              <w:t>玉米原料</w:t>
            </w:r>
            <w:r>
              <w:rPr>
                <w:rFonts w:ascii="宋体" w:eastAsia="宋体" w:hAnsi="宋体" w:cs="宋体" w:hint="eastAsia"/>
                <w:bCs/>
                <w:szCs w:val="21"/>
              </w:rPr>
              <w:t>级产品、</w:t>
            </w:r>
            <w:r>
              <w:rPr>
                <w:rFonts w:ascii="宋体" w:eastAsia="宋体" w:hAnsi="宋体" w:cs="宋体"/>
                <w:bCs/>
                <w:szCs w:val="21"/>
              </w:rPr>
              <w:t xml:space="preserve"> 玉米生物饲</w:t>
            </w:r>
            <w:r>
              <w:rPr>
                <w:rFonts w:ascii="宋体" w:eastAsia="宋体" w:hAnsi="宋体" w:hint="eastAsia"/>
              </w:rPr>
              <w:t>料</w:t>
            </w:r>
            <w:r>
              <w:rPr>
                <w:rFonts w:ascii="宋体" w:eastAsia="宋体" w:hAnsi="宋体"/>
              </w:rPr>
              <w:t xml:space="preserve"> 。</w:t>
            </w:r>
          </w:p>
          <w:p w14:paraId="2037FE03" w14:textId="77777777" w:rsidR="00501569" w:rsidRDefault="00C74794">
            <w:pPr>
              <w:adjustRightInd w:val="0"/>
              <w:snapToGrid w:val="0"/>
              <w:spacing w:line="360" w:lineRule="auto"/>
              <w:ind w:firstLineChars="200" w:firstLine="422"/>
              <w:rPr>
                <w:rFonts w:ascii="宋体" w:eastAsia="宋体" w:hAnsi="宋体" w:cs="宋体"/>
                <w:bCs/>
                <w:szCs w:val="21"/>
              </w:rPr>
            </w:pPr>
            <w:r>
              <w:rPr>
                <w:rFonts w:ascii="宋体" w:eastAsia="宋体" w:hAnsi="宋体" w:cs="宋体"/>
                <w:b/>
                <w:szCs w:val="21"/>
              </w:rPr>
              <w:t>年产</w:t>
            </w:r>
            <w:r>
              <w:rPr>
                <w:rFonts w:ascii="宋体" w:eastAsia="宋体" w:hAnsi="宋体" w:cs="宋体" w:hint="eastAsia"/>
                <w:b/>
                <w:szCs w:val="21"/>
              </w:rPr>
              <w:t>60万吨</w:t>
            </w:r>
            <w:r>
              <w:rPr>
                <w:rFonts w:ascii="宋体" w:eastAsia="宋体" w:hAnsi="宋体" w:cs="宋体"/>
                <w:b/>
                <w:szCs w:val="21"/>
              </w:rPr>
              <w:t>绿豆全籽粒高附加值综合利用健康食品项目</w:t>
            </w:r>
            <w:r>
              <w:rPr>
                <w:rFonts w:ascii="宋体" w:eastAsia="宋体" w:hAnsi="宋体" w:cs="宋体" w:hint="eastAsia"/>
                <w:b/>
                <w:szCs w:val="21"/>
              </w:rPr>
              <w:t>：</w:t>
            </w:r>
            <w:r>
              <w:rPr>
                <w:rFonts w:ascii="宋体" w:eastAsia="宋体" w:hAnsi="宋体" w:cs="宋体" w:hint="eastAsia"/>
                <w:bCs/>
                <w:szCs w:val="21"/>
              </w:rPr>
              <w:t>总投资20亿元，固定资产投资13亿元，其中设备投入7亿元，主要产品为安全型生态绿豆芽菜、学生营养芽菜、绿豆清咽糖、绿豆口香糖、绿豆休闲食品等产品。</w:t>
            </w:r>
          </w:p>
          <w:p w14:paraId="1F18775C" w14:textId="77777777" w:rsidR="00430523" w:rsidRDefault="00C74794" w:rsidP="00430523">
            <w:pPr>
              <w:adjustRightInd w:val="0"/>
              <w:snapToGrid w:val="0"/>
              <w:spacing w:line="360" w:lineRule="auto"/>
              <w:ind w:firstLineChars="200" w:firstLine="422"/>
              <w:rPr>
                <w:rFonts w:ascii="宋体" w:eastAsia="宋体" w:hAnsi="宋体" w:cs="宋体"/>
                <w:bCs/>
                <w:szCs w:val="21"/>
              </w:rPr>
            </w:pPr>
            <w:r>
              <w:rPr>
                <w:rFonts w:ascii="宋体" w:eastAsia="宋体" w:hAnsi="宋体" w:cs="宋体" w:hint="eastAsia"/>
                <w:b/>
                <w:bCs/>
                <w:szCs w:val="21"/>
              </w:rPr>
              <w:t>黄金玉米小镇项目</w:t>
            </w:r>
            <w:r>
              <w:rPr>
                <w:rFonts w:ascii="宋体" w:eastAsia="宋体" w:hAnsi="宋体" w:cs="宋体" w:hint="eastAsia"/>
                <w:bCs/>
                <w:szCs w:val="21"/>
              </w:rPr>
              <w:t>：总投资5亿元，占地350公顷。依托现有的65公顷迎新产业园，打造鲜食玉米品牌，包括新农产业园，农产品交易中心。</w:t>
            </w:r>
          </w:p>
          <w:p w14:paraId="08A7B5BA" w14:textId="77777777" w:rsidR="00501569" w:rsidRPr="00430523" w:rsidRDefault="00C74794" w:rsidP="00430523">
            <w:pPr>
              <w:adjustRightInd w:val="0"/>
              <w:snapToGrid w:val="0"/>
              <w:spacing w:line="360" w:lineRule="auto"/>
              <w:ind w:firstLineChars="200" w:firstLine="422"/>
              <w:rPr>
                <w:rFonts w:ascii="宋体" w:eastAsia="宋体" w:hAnsi="宋体" w:cs="宋体"/>
                <w:bCs/>
                <w:szCs w:val="21"/>
              </w:rPr>
            </w:pPr>
            <w:r>
              <w:rPr>
                <w:rFonts w:ascii="宋体" w:eastAsia="宋体" w:hAnsi="宋体" w:cs="宋体" w:hint="eastAsia"/>
                <w:b/>
                <w:szCs w:val="21"/>
              </w:rPr>
              <w:t>农副产品检测交易中心项目：</w:t>
            </w:r>
            <w:r>
              <w:rPr>
                <w:rFonts w:ascii="宋体" w:eastAsia="宋体" w:hAnsi="宋体" w:cs="宋体" w:hint="eastAsia"/>
                <w:bCs/>
                <w:szCs w:val="21"/>
              </w:rPr>
              <w:t>总投资5亿元，占地30公顷依托农高区现有的棚膜优势，打造长春市蔬菜、水果基地</w:t>
            </w:r>
          </w:p>
        </w:tc>
      </w:tr>
    </w:tbl>
    <w:p w14:paraId="28E8BFA2"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25" w:name="_Toc15302"/>
      <w:r w:rsidRPr="005717BE">
        <w:rPr>
          <w:rFonts w:ascii="楷体_GB2312" w:eastAsia="楷体_GB2312" w:hAnsi="楷体_GB2312" w:cs="楷体_GB2312" w:hint="eastAsia"/>
          <w:b/>
          <w:bCs/>
          <w:sz w:val="32"/>
          <w:szCs w:val="32"/>
        </w:rPr>
        <w:t>第二节 实施装备制造产业改造提升工程</w:t>
      </w:r>
      <w:bookmarkEnd w:id="25"/>
    </w:p>
    <w:p w14:paraId="040C6D37" w14:textId="77777777" w:rsidR="00501569" w:rsidRDefault="00C74794">
      <w:pPr>
        <w:ind w:firstLineChars="200" w:firstLine="640"/>
        <w:rPr>
          <w:rFonts w:ascii="仿宋_GB2312" w:eastAsia="仿宋_GB2312" w:hAnsi="仿宋_GB2312" w:cs="仿宋_GB2312"/>
          <w:b/>
          <w:sz w:val="32"/>
          <w:szCs w:val="32"/>
        </w:rPr>
      </w:pPr>
      <w:r>
        <w:rPr>
          <w:rFonts w:ascii="仿宋_GB2312" w:eastAsia="仿宋_GB2312" w:hAnsi="仿宋_GB2312" w:cs="仿宋_GB2312" w:hint="eastAsia"/>
          <w:sz w:val="32"/>
          <w:szCs w:val="32"/>
        </w:rPr>
        <w:t>对接长春</w:t>
      </w:r>
      <w:r>
        <w:rPr>
          <w:rFonts w:ascii="仿宋_GB2312" w:eastAsia="仿宋_GB2312" w:hAnsi="仿宋_GB2312" w:cs="仿宋_GB2312"/>
          <w:sz w:val="32"/>
          <w:szCs w:val="32"/>
        </w:rPr>
        <w:t>汽车产业</w:t>
      </w:r>
      <w:r>
        <w:rPr>
          <w:rFonts w:ascii="仿宋_GB2312" w:eastAsia="仿宋_GB2312" w:hAnsi="仿宋_GB2312" w:cs="仿宋_GB2312" w:hint="eastAsia"/>
          <w:sz w:val="32"/>
          <w:szCs w:val="32"/>
        </w:rPr>
        <w:t>集群</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突出</w:t>
      </w:r>
      <w:r>
        <w:rPr>
          <w:rFonts w:ascii="仿宋_GB2312" w:eastAsia="仿宋_GB2312" w:hAnsi="仿宋_GB2312" w:cs="仿宋_GB2312"/>
          <w:sz w:val="32"/>
          <w:szCs w:val="32"/>
        </w:rPr>
        <w:t>模块化</w:t>
      </w:r>
      <w:r>
        <w:rPr>
          <w:rFonts w:ascii="仿宋_GB2312" w:eastAsia="仿宋_GB2312" w:hAnsi="仿宋_GB2312" w:cs="仿宋_GB2312" w:hint="eastAsia"/>
          <w:sz w:val="32"/>
          <w:szCs w:val="32"/>
        </w:rPr>
        <w:t>、特色化、专业化、集聚化</w:t>
      </w:r>
      <w:r>
        <w:rPr>
          <w:rFonts w:ascii="仿宋_GB2312" w:eastAsia="仿宋_GB2312" w:hAnsi="仿宋_GB2312" w:cs="仿宋_GB2312"/>
          <w:sz w:val="32"/>
          <w:szCs w:val="32"/>
        </w:rPr>
        <w:t>发展方向，推</w:t>
      </w:r>
      <w:r>
        <w:rPr>
          <w:rFonts w:ascii="仿宋_GB2312" w:eastAsia="仿宋_GB2312" w:hAnsi="仿宋_GB2312" w:cs="仿宋_GB2312" w:hint="eastAsia"/>
          <w:sz w:val="32"/>
          <w:szCs w:val="32"/>
        </w:rPr>
        <w:t>进以</w:t>
      </w:r>
      <w:r>
        <w:rPr>
          <w:rFonts w:ascii="仿宋_GB2312" w:eastAsia="仿宋_GB2312" w:hAnsi="仿宋_GB2312" w:cs="仿宋_GB2312"/>
          <w:sz w:val="32"/>
          <w:szCs w:val="32"/>
        </w:rPr>
        <w:t>汽车零部件</w:t>
      </w:r>
      <w:r>
        <w:rPr>
          <w:rFonts w:ascii="仿宋_GB2312" w:eastAsia="仿宋_GB2312" w:hAnsi="仿宋_GB2312" w:cs="仿宋_GB2312" w:hint="eastAsia"/>
          <w:sz w:val="32"/>
          <w:szCs w:val="32"/>
        </w:rPr>
        <w:t>为主体的装备制造转型升级，巩固提升“中国汽车零部件制造基地”，打造具有国际影响力的汽车零部件制造和智能制造基地。到2025年，全市装备制造产业产值突破100亿元。</w:t>
      </w:r>
    </w:p>
    <w:p w14:paraId="6BC695C5"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完善汽车零部件供应体系。</w:t>
      </w:r>
      <w:r>
        <w:rPr>
          <w:rFonts w:ascii="仿宋_GB2312" w:eastAsia="仿宋_GB2312" w:hAnsi="仿宋_GB2312" w:cs="仿宋_GB2312" w:hint="eastAsia"/>
          <w:sz w:val="32"/>
          <w:szCs w:val="32"/>
        </w:rPr>
        <w:t>围绕保障“双循环”新发展格局</w:t>
      </w:r>
      <w:r>
        <w:rPr>
          <w:rFonts w:ascii="仿宋_GB2312" w:eastAsia="仿宋_GB2312" w:hAnsi="仿宋_GB2312" w:cs="仿宋_GB2312"/>
          <w:sz w:val="32"/>
          <w:szCs w:val="32"/>
        </w:rPr>
        <w:t>下</w:t>
      </w:r>
      <w:r>
        <w:rPr>
          <w:rFonts w:ascii="仿宋_GB2312" w:eastAsia="仿宋_GB2312" w:hAnsi="仿宋_GB2312" w:cs="仿宋_GB2312" w:hint="eastAsia"/>
          <w:sz w:val="32"/>
          <w:szCs w:val="32"/>
        </w:rPr>
        <w:t>国内产业链安全，</w:t>
      </w:r>
      <w:r>
        <w:rPr>
          <w:rFonts w:ascii="仿宋_GB2312" w:eastAsia="仿宋_GB2312" w:hAnsi="仿宋_GB2312" w:cs="仿宋_GB2312" w:hint="eastAsia"/>
          <w:bCs/>
          <w:sz w:val="32"/>
          <w:szCs w:val="32"/>
        </w:rPr>
        <w:t>抢抓一汽“六个回归”发展机遇，</w:t>
      </w:r>
      <w:r>
        <w:rPr>
          <w:rFonts w:ascii="仿宋_GB2312" w:eastAsia="仿宋_GB2312" w:hAnsi="仿宋_GB2312" w:cs="仿宋_GB2312" w:hint="eastAsia"/>
          <w:bCs/>
          <w:sz w:val="32"/>
          <w:szCs w:val="32"/>
        </w:rPr>
        <w:lastRenderedPageBreak/>
        <w:t>打造区域汽车零部件产业功能单元，壮大核心供应商群体由零件向部件、总成、整车拓展，由金属件低端产品向高附加值产品拓展，由零散配套向系统化、模块化方向拓展</w:t>
      </w:r>
      <w:r>
        <w:rPr>
          <w:rFonts w:ascii="仿宋_GB2312" w:eastAsia="仿宋_GB2312" w:hAnsi="仿宋_GB2312" w:cs="仿宋_GB2312" w:hint="eastAsia"/>
          <w:sz w:val="32"/>
          <w:szCs w:val="32"/>
        </w:rPr>
        <w:t>。加大招商和支持力度，全力引进落位一批国内外汽车零部件企业和项目，重点引进一批一级、二级配套零部件供应商，以一、二级供应商带动三级供应商，形成金字塔型汽车零部件供应体系，保障一汽供应链安全。依托卡车和轿车配套产品生产线，</w:t>
      </w:r>
      <w:r>
        <w:rPr>
          <w:rFonts w:ascii="仿宋_GB2312" w:eastAsia="仿宋_GB2312" w:hAnsi="仿宋_GB2312" w:cs="仿宋_GB2312"/>
          <w:sz w:val="32"/>
          <w:szCs w:val="32"/>
        </w:rPr>
        <w:t>打造中重卡车</w:t>
      </w:r>
      <w:r>
        <w:rPr>
          <w:rFonts w:ascii="仿宋_GB2312" w:eastAsia="仿宋_GB2312" w:hAnsi="仿宋_GB2312" w:cs="仿宋_GB2312" w:hint="eastAsia"/>
          <w:sz w:val="32"/>
          <w:szCs w:val="32"/>
        </w:rPr>
        <w:t>及</w:t>
      </w:r>
      <w:r>
        <w:rPr>
          <w:rFonts w:ascii="仿宋_GB2312" w:eastAsia="仿宋_GB2312" w:hAnsi="仿宋_GB2312" w:cs="仿宋_GB2312"/>
          <w:sz w:val="32"/>
          <w:szCs w:val="32"/>
        </w:rPr>
        <w:t>轿车</w:t>
      </w:r>
      <w:r>
        <w:rPr>
          <w:rFonts w:ascii="仿宋_GB2312" w:eastAsia="仿宋_GB2312" w:hAnsi="仿宋_GB2312" w:cs="仿宋_GB2312" w:hint="eastAsia"/>
          <w:sz w:val="32"/>
          <w:szCs w:val="32"/>
        </w:rPr>
        <w:t>零部件</w:t>
      </w:r>
      <w:r>
        <w:rPr>
          <w:rFonts w:ascii="仿宋_GB2312" w:eastAsia="仿宋_GB2312" w:hAnsi="仿宋_GB2312" w:cs="仿宋_GB2312"/>
          <w:sz w:val="32"/>
          <w:szCs w:val="32"/>
        </w:rPr>
        <w:t>配套</w:t>
      </w:r>
      <w:r>
        <w:rPr>
          <w:rFonts w:ascii="仿宋_GB2312" w:eastAsia="仿宋_GB2312" w:hAnsi="仿宋_GB2312" w:cs="仿宋_GB2312" w:hint="eastAsia"/>
          <w:sz w:val="32"/>
          <w:szCs w:val="32"/>
        </w:rPr>
        <w:t>基地，</w:t>
      </w:r>
      <w:r>
        <w:rPr>
          <w:rFonts w:ascii="仿宋_GB2312" w:eastAsia="仿宋_GB2312" w:hAnsi="仿宋_GB2312" w:cs="仿宋_GB2312"/>
          <w:sz w:val="32"/>
          <w:szCs w:val="32"/>
        </w:rPr>
        <w:t>鼓励</w:t>
      </w:r>
      <w:r>
        <w:rPr>
          <w:rFonts w:ascii="仿宋_GB2312" w:eastAsia="仿宋_GB2312" w:hAnsi="仿宋_GB2312" w:cs="仿宋_GB2312" w:hint="eastAsia"/>
          <w:sz w:val="32"/>
          <w:szCs w:val="32"/>
        </w:rPr>
        <w:t>汽车</w:t>
      </w:r>
      <w:r>
        <w:rPr>
          <w:rFonts w:ascii="仿宋_GB2312" w:eastAsia="仿宋_GB2312" w:hAnsi="仿宋_GB2312" w:cs="仿宋_GB2312"/>
          <w:sz w:val="32"/>
          <w:szCs w:val="32"/>
        </w:rPr>
        <w:t>配套</w:t>
      </w:r>
      <w:r>
        <w:rPr>
          <w:rFonts w:ascii="仿宋_GB2312" w:eastAsia="仿宋_GB2312" w:hAnsi="仿宋_GB2312" w:cs="仿宋_GB2312" w:hint="eastAsia"/>
          <w:sz w:val="32"/>
          <w:szCs w:val="32"/>
        </w:rPr>
        <w:t>企业</w:t>
      </w:r>
      <w:r>
        <w:rPr>
          <w:rFonts w:ascii="仿宋_GB2312" w:eastAsia="仿宋_GB2312" w:hAnsi="仿宋_GB2312" w:cs="仿宋_GB2312"/>
          <w:sz w:val="32"/>
          <w:szCs w:val="32"/>
        </w:rPr>
        <w:t>研发新产品，</w:t>
      </w:r>
      <w:r>
        <w:rPr>
          <w:rFonts w:ascii="仿宋_GB2312" w:eastAsia="仿宋_GB2312" w:hAnsi="仿宋_GB2312" w:cs="仿宋_GB2312" w:hint="eastAsia"/>
          <w:sz w:val="32"/>
          <w:szCs w:val="32"/>
        </w:rPr>
        <w:t>加快抢占</w:t>
      </w:r>
      <w:r>
        <w:rPr>
          <w:rFonts w:ascii="仿宋_GB2312" w:eastAsia="仿宋_GB2312" w:hAnsi="仿宋_GB2312" w:cs="仿宋_GB2312"/>
          <w:sz w:val="32"/>
          <w:szCs w:val="32"/>
        </w:rPr>
        <w:t>省内外</w:t>
      </w:r>
      <w:r>
        <w:rPr>
          <w:rFonts w:ascii="仿宋_GB2312" w:eastAsia="仿宋_GB2312" w:hAnsi="仿宋_GB2312" w:cs="仿宋_GB2312" w:hint="eastAsia"/>
          <w:sz w:val="32"/>
          <w:szCs w:val="32"/>
        </w:rPr>
        <w:t>汽车</w:t>
      </w:r>
      <w:r>
        <w:rPr>
          <w:rFonts w:ascii="仿宋_GB2312" w:eastAsia="仿宋_GB2312" w:hAnsi="仿宋_GB2312" w:cs="仿宋_GB2312"/>
          <w:sz w:val="32"/>
          <w:szCs w:val="32"/>
        </w:rPr>
        <w:t>配套市场</w:t>
      </w:r>
      <w:r>
        <w:rPr>
          <w:rFonts w:ascii="仿宋_GB2312" w:eastAsia="仿宋_GB2312" w:hAnsi="仿宋_GB2312" w:cs="仿宋_GB2312" w:hint="eastAsia"/>
          <w:sz w:val="32"/>
          <w:szCs w:val="32"/>
        </w:rPr>
        <w:t>。依托一汽技术中心，合作建设汽车轻量化研发试验平台，</w:t>
      </w:r>
      <w:r>
        <w:rPr>
          <w:rFonts w:ascii="仿宋_GB2312" w:eastAsia="仿宋_GB2312" w:hAnsi="仿宋_GB2312" w:cs="仿宋_GB2312"/>
          <w:sz w:val="32"/>
          <w:szCs w:val="32"/>
        </w:rPr>
        <w:t>改造原有传统材料利用方式，</w:t>
      </w:r>
      <w:r>
        <w:rPr>
          <w:rFonts w:ascii="仿宋_GB2312" w:eastAsia="仿宋_GB2312" w:hAnsi="仿宋_GB2312" w:cs="仿宋_GB2312" w:hint="eastAsia"/>
          <w:sz w:val="32"/>
          <w:szCs w:val="32"/>
        </w:rPr>
        <w:t>加快由粗笨重产品向轻量化产品转化，重点推动信通模具卡车翻斗及部分汽车配套产品轻量化建设，全力打造汽车零部件轻量化制造体系。</w:t>
      </w:r>
    </w:p>
    <w:p w14:paraId="3C6C88A6" w14:textId="77777777" w:rsidR="00501569" w:rsidRDefault="00C74794">
      <w:pPr>
        <w:ind w:firstLineChars="200" w:firstLine="643"/>
      </w:pPr>
      <w:r>
        <w:rPr>
          <w:rFonts w:ascii="仿宋_GB2312" w:eastAsia="仿宋_GB2312" w:hAnsi="仿宋_GB2312" w:cs="仿宋_GB2312" w:hint="eastAsia"/>
          <w:b/>
          <w:sz w:val="32"/>
          <w:szCs w:val="32"/>
        </w:rPr>
        <w:t>打造智能网联汽车产业基地。</w:t>
      </w:r>
      <w:r>
        <w:rPr>
          <w:rFonts w:ascii="仿宋_GB2312" w:eastAsia="仿宋_GB2312" w:hAnsi="仿宋_GB2312" w:cs="仿宋_GB2312" w:hint="eastAsia"/>
          <w:sz w:val="32"/>
          <w:szCs w:val="32"/>
        </w:rPr>
        <w:t>以汽车产业网联化、智能化、共享化发展为契机，承接一汽车</w:t>
      </w:r>
      <w:r>
        <w:rPr>
          <w:rFonts w:ascii="仿宋_GB2312" w:eastAsia="仿宋_GB2312" w:hAnsi="仿宋_GB2312" w:cs="仿宋_GB2312"/>
          <w:sz w:val="32"/>
          <w:szCs w:val="32"/>
        </w:rPr>
        <w:t>联网</w:t>
      </w:r>
      <w:r>
        <w:rPr>
          <w:rFonts w:ascii="仿宋_GB2312" w:eastAsia="仿宋_GB2312" w:hAnsi="仿宋_GB2312" w:cs="仿宋_GB2312" w:hint="eastAsia"/>
          <w:sz w:val="32"/>
          <w:szCs w:val="32"/>
        </w:rPr>
        <w:t>产业和资本拓展，实现优势互补和更高层次合作共赢，共同推动国际电联第一移动车联网和5G车联网示范区建设。加强与科研院所和域外企业交流合作，引进知名智能网联汽车企业落户。鼓励汽车零部件企业开展汽车</w:t>
      </w:r>
      <w:r>
        <w:rPr>
          <w:rFonts w:ascii="仿宋_GB2312" w:eastAsia="仿宋_GB2312" w:hAnsi="仿宋_GB2312" w:cs="仿宋_GB2312"/>
          <w:sz w:val="32"/>
          <w:szCs w:val="32"/>
        </w:rPr>
        <w:t>电子、</w:t>
      </w:r>
      <w:r>
        <w:rPr>
          <w:rFonts w:ascii="仿宋_GB2312" w:eastAsia="仿宋_GB2312" w:hAnsi="仿宋_GB2312" w:cs="仿宋_GB2312" w:hint="eastAsia"/>
          <w:sz w:val="32"/>
          <w:szCs w:val="32"/>
        </w:rPr>
        <w:t>感知、定位、通信、多源信息融合等技术转移转化，重点发展智能驾驶、智能座舱、智能网联等领域，实现车载信息服务产业快速发展。建立研发、中试、生产全环节的公共技术服务中心，促进传统汽车产业</w:t>
      </w:r>
      <w:r>
        <w:rPr>
          <w:rFonts w:ascii="仿宋_GB2312" w:eastAsia="仿宋_GB2312" w:hAnsi="仿宋_GB2312" w:cs="仿宋_GB2312" w:hint="eastAsia"/>
          <w:sz w:val="32"/>
          <w:szCs w:val="32"/>
        </w:rPr>
        <w:lastRenderedPageBreak/>
        <w:t>与新兴汽车产业融合发展，提升智能网联汽车产业整体竞争能力，打造智能网联汽车零部件制造和研发配套基地。</w:t>
      </w:r>
    </w:p>
    <w:p w14:paraId="2AC3194E" w14:textId="77777777" w:rsidR="00501569" w:rsidRDefault="00C74794" w:rsidP="0045498C">
      <w:pPr>
        <w:shd w:val="clear" w:color="auto" w:fill="FFFFFF"/>
        <w:spacing w:beforeLines="50" w:before="156" w:afterLines="50" w:after="156"/>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创新发展汽车铸锻件产业。</w:t>
      </w:r>
      <w:r>
        <w:rPr>
          <w:rFonts w:ascii="仿宋_GB2312" w:eastAsia="仿宋_GB2312" w:hAnsi="仿宋_GB2312" w:cs="仿宋_GB2312" w:hint="eastAsia"/>
          <w:bCs/>
          <w:sz w:val="32"/>
          <w:szCs w:val="32"/>
        </w:rPr>
        <w:t>利用信息化技术优势与先进运营模式，开展传统设备智能化改造，提升汽车铸锻件企业智能化制造水平，推进由传统铸锻件生产转向精密铸锻件制造、由主要给中重型卡车配套向轿车配套发展、由单一铸锻件加工向机加生产发展、由生产汽车零件向生产部件发展，打造吉林省乃至东北地区汽车铸锻件生产制造基地。腾退老旧厂区，建设汽车铸锻件产业园，招引新企业落户，支持具备条件的企业逐步实施自动化生产线改造和数字车间建设，延伸汽车铸锻件产业链，加快向智能制造升级。挖掘本土企业潜力，支持博镪、玛钢、铸铭、诚德等铸锻件企业转型升级。</w:t>
      </w:r>
    </w:p>
    <w:tbl>
      <w:tblPr>
        <w:tblW w:w="8309"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9"/>
      </w:tblGrid>
      <w:tr w:rsidR="00501569" w14:paraId="0FC8A733" w14:textId="77777777">
        <w:trPr>
          <w:trHeight w:val="699"/>
        </w:trPr>
        <w:tc>
          <w:tcPr>
            <w:tcW w:w="8309" w:type="dxa"/>
          </w:tcPr>
          <w:p w14:paraId="19AE8660" w14:textId="77777777" w:rsidR="00501569" w:rsidRDefault="00501569">
            <w:pPr>
              <w:adjustRightInd w:val="0"/>
              <w:snapToGrid w:val="0"/>
              <w:spacing w:line="360" w:lineRule="auto"/>
              <w:jc w:val="center"/>
              <w:rPr>
                <w:rFonts w:ascii="楷体_GB2312" w:eastAsia="楷体_GB2312" w:hAnsi="楷体_GB2312" w:cs="楷体_GB2312"/>
                <w:b/>
                <w:sz w:val="10"/>
                <w:szCs w:val="10"/>
              </w:rPr>
            </w:pPr>
          </w:p>
          <w:p w14:paraId="5765DDD3" w14:textId="77777777" w:rsidR="00501569" w:rsidRDefault="00C74794">
            <w:pPr>
              <w:adjustRightInd w:val="0"/>
              <w:snapToGrid w:val="0"/>
              <w:spacing w:line="360" w:lineRule="auto"/>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专栏6</w:t>
            </w:r>
            <w:r>
              <w:rPr>
                <w:rFonts w:ascii="楷体_GB2312" w:eastAsia="楷体_GB2312" w:hAnsi="楷体_GB2312" w:cs="楷体_GB2312"/>
                <w:b/>
                <w:sz w:val="28"/>
                <w:szCs w:val="28"/>
              </w:rPr>
              <w:t>:</w:t>
            </w:r>
            <w:r>
              <w:rPr>
                <w:rFonts w:ascii="楷体_GB2312" w:eastAsia="楷体_GB2312" w:hAnsi="楷体_GB2312" w:cs="楷体_GB2312" w:hint="eastAsia"/>
                <w:b/>
                <w:sz w:val="28"/>
                <w:szCs w:val="28"/>
              </w:rPr>
              <w:t xml:space="preserve"> 装备制造业重点项目</w:t>
            </w:r>
          </w:p>
          <w:p w14:paraId="79FBD665" w14:textId="77777777" w:rsidR="00501569" w:rsidRDefault="00C74794">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rPr>
              <w:t>吉浙产业园：</w:t>
            </w:r>
            <w:r>
              <w:rPr>
                <w:rFonts w:ascii="宋体" w:eastAsia="宋体" w:hAnsi="宋体" w:cs="宋体" w:hint="eastAsia"/>
                <w:szCs w:val="21"/>
              </w:rPr>
              <w:t>以一汽零部件产业园为核心，加强与一汽富维、富奥、解放等公司深度协作，吸引浙江省为一汽配套的A级及B级汽车零部件供应商入驻，引进更多浙江企业、资本和技术。</w:t>
            </w:r>
          </w:p>
          <w:p w14:paraId="4D5CCC5D"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台湾工业园：</w:t>
            </w:r>
            <w:r>
              <w:rPr>
                <w:rFonts w:ascii="宋体" w:eastAsia="宋体" w:hAnsi="宋体" w:cs="宋体" w:hint="eastAsia"/>
                <w:szCs w:val="21"/>
              </w:rPr>
              <w:t>吸引国外零部件企业集团入驻，打造以金属、注塑零部件为主的零部件产业生态体系，支持已入驻琦瑞、协展、协祥、泰格、加保保丽龙、开曼英利等6家台资企业发展壮大，到2025年，达到年产汽车金属零部件5000万件(套)、注塑件2000万件(套)生产能力。</w:t>
            </w:r>
          </w:p>
          <w:p w14:paraId="7C18E65F"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富锋热成型高强钢板零部件项目</w:t>
            </w:r>
            <w:r>
              <w:rPr>
                <w:rFonts w:ascii="宋体" w:eastAsia="宋体" w:hAnsi="宋体" w:cs="宋体"/>
                <w:b/>
                <w:bCs/>
                <w:szCs w:val="21"/>
              </w:rPr>
              <w:t>:</w:t>
            </w:r>
            <w:r>
              <w:rPr>
                <w:rFonts w:ascii="宋体" w:eastAsia="宋体" w:hAnsi="宋体" w:cs="宋体" w:hint="eastAsia"/>
                <w:bCs/>
                <w:szCs w:val="21"/>
              </w:rPr>
              <w:t>总投资0.8亿元，</w:t>
            </w:r>
            <w:r>
              <w:rPr>
                <w:rFonts w:ascii="宋体" w:eastAsia="宋体" w:hAnsi="宋体" w:cs="宋体" w:hint="eastAsia"/>
                <w:szCs w:val="21"/>
              </w:rPr>
              <w:t>根据现有技术建立热成形自动生产线，生产商用车热成形高强钢板零部件等零件，降低车身自重。</w:t>
            </w:r>
          </w:p>
          <w:p w14:paraId="624ABB80"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汽车轻量化零部件产业园标准化厂房项目：</w:t>
            </w:r>
            <w:r>
              <w:rPr>
                <w:rFonts w:ascii="宋体" w:eastAsia="宋体" w:hAnsi="宋体" w:hint="eastAsia"/>
              </w:rPr>
              <w:t>总投资4.07亿元，主要建设内容综合厂房、服务中心等</w:t>
            </w:r>
            <w:r>
              <w:rPr>
                <w:rFonts w:ascii="宋体" w:eastAsia="宋体" w:hAnsi="宋体"/>
              </w:rPr>
              <w:t>14栋以及配套附属公用工程设施等。</w:t>
            </w:r>
          </w:p>
          <w:p w14:paraId="68081A67"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lastRenderedPageBreak/>
              <w:t>商用车及轿车轮毂轴承技术改造项目：</w:t>
            </w:r>
            <w:r>
              <w:rPr>
                <w:rFonts w:ascii="宋体" w:eastAsia="宋体" w:hAnsi="宋体" w:cs="宋体" w:hint="eastAsia"/>
                <w:bCs/>
                <w:szCs w:val="21"/>
              </w:rPr>
              <w:t>总投资5.25亿元，</w:t>
            </w:r>
            <w:r>
              <w:rPr>
                <w:rFonts w:ascii="宋体" w:eastAsia="宋体" w:hAnsi="宋体" w:cs="宋体" w:hint="eastAsia"/>
                <w:szCs w:val="21"/>
              </w:rPr>
              <w:t>将原公轴厂区全部退出，在岭东工业集中区新建厂房和办公楼，形成年产轴承1000万套的能力，打造一个集设计、开发、生产、销售于一体的轴承工业园区。</w:t>
            </w:r>
          </w:p>
          <w:p w14:paraId="19E9D9C1" w14:textId="77777777" w:rsidR="00501569" w:rsidRDefault="00C74794">
            <w:pPr>
              <w:adjustRightInd w:val="0"/>
              <w:snapToGrid w:val="0"/>
              <w:spacing w:line="360" w:lineRule="auto"/>
              <w:ind w:firstLineChars="200" w:firstLine="422"/>
              <w:rPr>
                <w:rFonts w:ascii="仿宋" w:eastAsia="仿宋" w:hAnsi="仿宋" w:cs="仿宋"/>
              </w:rPr>
            </w:pPr>
            <w:r>
              <w:rPr>
                <w:rFonts w:ascii="宋体" w:eastAsia="宋体" w:hAnsi="宋体" w:cs="黑体" w:hint="eastAsia"/>
                <w:b/>
              </w:rPr>
              <w:t>汽车锻造件加工产业园：</w:t>
            </w:r>
            <w:r>
              <w:rPr>
                <w:rFonts w:ascii="宋体" w:eastAsia="宋体" w:hAnsi="宋体" w:cs="黑体" w:hint="eastAsia"/>
              </w:rPr>
              <w:t>总投资4亿元，</w:t>
            </w:r>
            <w:r>
              <w:rPr>
                <w:rFonts w:ascii="宋体" w:eastAsia="宋体" w:hAnsi="宋体" w:cs="宋体" w:hint="eastAsia"/>
                <w:bCs/>
                <w:szCs w:val="21"/>
              </w:rPr>
              <w:t>占地面积10</w:t>
            </w:r>
            <w:r w:rsidR="007C4A68">
              <w:rPr>
                <w:rFonts w:ascii="宋体" w:eastAsia="宋体" w:hAnsi="宋体" w:cs="宋体" w:hint="eastAsia"/>
                <w:bCs/>
                <w:szCs w:val="21"/>
              </w:rPr>
              <w:t>公顷</w:t>
            </w:r>
            <w:r>
              <w:rPr>
                <w:rFonts w:ascii="宋体" w:eastAsia="宋体" w:hAnsi="宋体" w:cs="宋体" w:hint="eastAsia"/>
                <w:bCs/>
                <w:szCs w:val="21"/>
              </w:rPr>
              <w:t>，用于建设标准厂房，以满足生产需求。招引多户锻造件企业落户，加快汽车市场的发展。</w:t>
            </w:r>
          </w:p>
          <w:p w14:paraId="3B539003" w14:textId="77777777" w:rsidR="00501569" w:rsidRDefault="00C74794">
            <w:pPr>
              <w:adjustRightInd w:val="0"/>
              <w:snapToGrid w:val="0"/>
              <w:spacing w:line="360" w:lineRule="auto"/>
              <w:ind w:firstLineChars="200" w:firstLine="422"/>
              <w:rPr>
                <w:rFonts w:ascii="宋体" w:eastAsia="宋体" w:hAnsi="宋体" w:cs="宋体"/>
                <w:bCs/>
                <w:szCs w:val="21"/>
              </w:rPr>
            </w:pPr>
            <w:r>
              <w:rPr>
                <w:rFonts w:ascii="宋体" w:eastAsia="宋体" w:hAnsi="宋体" w:cs="黑体" w:hint="eastAsia"/>
                <w:b/>
              </w:rPr>
              <w:t>吉林省诚品高端制造产业孵化基地：</w:t>
            </w:r>
            <w:r>
              <w:rPr>
                <w:rFonts w:ascii="宋体" w:eastAsia="宋体" w:hAnsi="宋体" w:cs="黑体" w:hint="eastAsia"/>
              </w:rPr>
              <w:t>总投资5亿元，</w:t>
            </w:r>
            <w:r>
              <w:rPr>
                <w:rFonts w:ascii="宋体" w:eastAsia="宋体" w:hAnsi="宋体" w:cs="宋体" w:hint="eastAsia"/>
                <w:bCs/>
                <w:szCs w:val="21"/>
              </w:rPr>
              <w:t>占地面积16.8万平方米，新建面积约12万平方米。其中：厂房面积约为7.5万平方米，附属设施面积约为4.5万平方米。</w:t>
            </w:r>
          </w:p>
        </w:tc>
      </w:tr>
    </w:tbl>
    <w:p w14:paraId="1FC2F66B"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26" w:name="_Toc22345"/>
      <w:bookmarkEnd w:id="23"/>
      <w:r w:rsidRPr="005717BE">
        <w:rPr>
          <w:rFonts w:ascii="楷体_GB2312" w:eastAsia="楷体_GB2312" w:hAnsi="楷体_GB2312" w:cs="楷体_GB2312" w:hint="eastAsia"/>
          <w:b/>
          <w:bCs/>
          <w:sz w:val="32"/>
          <w:szCs w:val="32"/>
        </w:rPr>
        <w:lastRenderedPageBreak/>
        <w:t>第三节 实施现代物流产业融通提效工程</w:t>
      </w:r>
      <w:bookmarkEnd w:id="26"/>
    </w:p>
    <w:p w14:paraId="157424C4"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Times New Roman" w:cs="Times New Roman" w:hint="eastAsia"/>
          <w:sz w:val="32"/>
          <w:szCs w:val="32"/>
        </w:rPr>
        <w:t>围绕</w:t>
      </w:r>
      <w:r>
        <w:rPr>
          <w:rFonts w:ascii="仿宋_GB2312" w:eastAsia="仿宋_GB2312" w:hAnsi="仿宋_GB2312" w:cs="仿宋_GB2312" w:hint="eastAsia"/>
          <w:sz w:val="32"/>
          <w:szCs w:val="32"/>
        </w:rPr>
        <w:t>建设长春南部物流枢纽目标，</w:t>
      </w:r>
      <w:r>
        <w:rPr>
          <w:rFonts w:ascii="仿宋_GB2312" w:eastAsia="仿宋_GB2312" w:hAnsi="仿宋_GB2312" w:cs="仿宋_GB2312"/>
          <w:w w:val="97"/>
          <w:sz w:val="32"/>
          <w:szCs w:val="32"/>
        </w:rPr>
        <w:t>对接长春</w:t>
      </w:r>
      <w:r>
        <w:rPr>
          <w:rFonts w:ascii="仿宋_GB2312" w:eastAsia="仿宋_GB2312" w:hAnsi="仿宋_GB2312" w:cs="仿宋_GB2312" w:hint="eastAsia"/>
          <w:w w:val="97"/>
          <w:sz w:val="32"/>
          <w:szCs w:val="32"/>
        </w:rPr>
        <w:t>国家生产服务型</w:t>
      </w:r>
      <w:r>
        <w:rPr>
          <w:rFonts w:ascii="仿宋_GB2312" w:eastAsia="仿宋_GB2312" w:hAnsi="仿宋_GB2312" w:cs="仿宋_GB2312"/>
          <w:w w:val="97"/>
          <w:sz w:val="32"/>
          <w:szCs w:val="32"/>
        </w:rPr>
        <w:t>物流枢纽</w:t>
      </w:r>
      <w:r>
        <w:rPr>
          <w:rFonts w:ascii="仿宋_GB2312" w:eastAsia="仿宋_GB2312" w:hAnsi="仿宋_GB2312" w:cs="仿宋_GB2312" w:hint="eastAsia"/>
          <w:w w:val="97"/>
          <w:sz w:val="32"/>
          <w:szCs w:val="32"/>
        </w:rPr>
        <w:t>城市</w:t>
      </w:r>
      <w:r>
        <w:rPr>
          <w:rFonts w:ascii="仿宋_GB2312" w:eastAsia="仿宋_GB2312" w:hAnsi="仿宋_GB2312" w:cs="仿宋_GB2312"/>
          <w:w w:val="97"/>
          <w:sz w:val="32"/>
          <w:szCs w:val="32"/>
        </w:rPr>
        <w:t>，</w:t>
      </w:r>
      <w:r>
        <w:rPr>
          <w:rFonts w:ascii="仿宋_GB2312" w:eastAsia="仿宋_GB2312" w:hAnsi="仿宋_GB2312" w:cs="仿宋_GB2312" w:hint="eastAsia"/>
          <w:w w:val="97"/>
          <w:sz w:val="32"/>
          <w:szCs w:val="32"/>
        </w:rPr>
        <w:t>聚焦</w:t>
      </w:r>
      <w:r>
        <w:rPr>
          <w:rFonts w:ascii="仿宋_GB2312" w:eastAsia="仿宋_GB2312" w:hAnsi="Times New Roman" w:cs="Times New Roman" w:hint="eastAsia"/>
          <w:sz w:val="32"/>
          <w:szCs w:val="32"/>
        </w:rPr>
        <w:t>长春市现代化都市圈生产生活需求，</w:t>
      </w:r>
      <w:r>
        <w:rPr>
          <w:rFonts w:ascii="仿宋_GB2312" w:eastAsia="仿宋_GB2312" w:hAnsi="仿宋_GB2312" w:cs="仿宋_GB2312" w:hint="eastAsia"/>
          <w:sz w:val="32"/>
          <w:szCs w:val="32"/>
        </w:rPr>
        <w:t>做大做强汽车、粮食、农产品和商贸物流体系，打造现代化国际汽车物流基地和商贸物流枢纽。到2025年，全市物流企业发展到</w:t>
      </w:r>
      <w:r>
        <w:rPr>
          <w:rFonts w:ascii="仿宋_GB2312" w:eastAsia="仿宋_GB2312" w:hAnsi="仿宋_GB2312" w:cs="仿宋_GB2312"/>
          <w:sz w:val="32"/>
          <w:szCs w:val="32"/>
        </w:rPr>
        <w:t>460</w:t>
      </w:r>
      <w:r>
        <w:rPr>
          <w:rFonts w:ascii="仿宋_GB2312" w:eastAsia="仿宋_GB2312" w:hAnsi="仿宋_GB2312" w:cs="仿宋_GB2312" w:hint="eastAsia"/>
          <w:sz w:val="32"/>
          <w:szCs w:val="32"/>
        </w:rPr>
        <w:t>户，实现营业收入150亿元，比“十三五”末期增长</w:t>
      </w:r>
      <w:r>
        <w:rPr>
          <w:rFonts w:ascii="仿宋_GB2312" w:eastAsia="仿宋_GB2312" w:hAnsi="仿宋_GB2312" w:cs="仿宋_GB2312"/>
          <w:sz w:val="32"/>
          <w:szCs w:val="32"/>
        </w:rPr>
        <w:t>55</w:t>
      </w:r>
      <w:r>
        <w:rPr>
          <w:rFonts w:ascii="仿宋_GB2312" w:eastAsia="仿宋_GB2312" w:hAnsi="仿宋_GB2312" w:cs="仿宋_GB2312" w:hint="eastAsia"/>
          <w:sz w:val="32"/>
          <w:szCs w:val="32"/>
        </w:rPr>
        <w:t>%左右。</w:t>
      </w:r>
    </w:p>
    <w:p w14:paraId="23B32808" w14:textId="77777777" w:rsidR="00501569" w:rsidRDefault="00C74794">
      <w:pPr>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建设现代化国际汽车物流基地。</w:t>
      </w:r>
      <w:r>
        <w:rPr>
          <w:rFonts w:ascii="仿宋_GB2312" w:eastAsia="仿宋_GB2312" w:hAnsi="仿宋_GB2312" w:cs="仿宋_GB2312" w:hint="eastAsia"/>
          <w:sz w:val="32"/>
          <w:szCs w:val="32"/>
        </w:rPr>
        <w:t>打造东北智慧物流园区，利用“长满欧”“长珲欧”陆路大通道及长春西南方向复合交通通道优势，推进整车物流、汽车零部件物流、多式</w:t>
      </w:r>
      <w:r>
        <w:rPr>
          <w:rFonts w:ascii="仿宋_GB2312" w:eastAsia="仿宋_GB2312" w:hAnsi="仿宋_GB2312" w:cs="仿宋_GB2312"/>
          <w:sz w:val="32"/>
          <w:szCs w:val="32"/>
        </w:rPr>
        <w:t>联运、</w:t>
      </w:r>
      <w:r>
        <w:rPr>
          <w:rFonts w:ascii="仿宋_GB2312" w:eastAsia="仿宋_GB2312" w:hAnsi="仿宋_GB2312" w:cs="仿宋_GB2312" w:hint="eastAsia"/>
          <w:sz w:val="32"/>
          <w:szCs w:val="32"/>
        </w:rPr>
        <w:t>电商平台等业务集成，打造具有仓储运输、线上线下产品展示与交易、进出口贸易、</w:t>
      </w:r>
      <w:r>
        <w:rPr>
          <w:rFonts w:ascii="仿宋_GB2312" w:eastAsia="仿宋_GB2312" w:hAnsi="仿宋_GB2312" w:cs="仿宋_GB2312"/>
          <w:sz w:val="32"/>
          <w:szCs w:val="32"/>
        </w:rPr>
        <w:t>物流金融、结算中心</w:t>
      </w:r>
      <w:r>
        <w:rPr>
          <w:rFonts w:ascii="仿宋_GB2312" w:eastAsia="仿宋_GB2312" w:hAnsi="仿宋_GB2312" w:cs="仿宋_GB2312" w:hint="eastAsia"/>
          <w:sz w:val="32"/>
          <w:szCs w:val="32"/>
        </w:rPr>
        <w:t>等功能的现代化国际汽车物流基地。围绕服务一汽、融入长春，新建西部货运廊道，快速联通国家高速公路网和货运铁路网，优化供应链流程，实现区域汽车物流网络升级。围绕满足一汽集团远景年战略产能需求，建立汽车零部件生产商、供应链上下</w:t>
      </w:r>
      <w:r>
        <w:rPr>
          <w:rFonts w:ascii="仿宋_GB2312" w:eastAsia="仿宋_GB2312" w:hAnsi="仿宋_GB2312" w:cs="仿宋_GB2312" w:hint="eastAsia"/>
          <w:sz w:val="32"/>
          <w:szCs w:val="32"/>
        </w:rPr>
        <w:lastRenderedPageBreak/>
        <w:t>游企业、物流企业组成的战略联盟，构建零部件分拨配送网络。</w:t>
      </w:r>
    </w:p>
    <w:p w14:paraId="2B13708E" w14:textId="77777777" w:rsidR="00501569" w:rsidRDefault="00C74794">
      <w:pPr>
        <w:shd w:val="clear" w:color="auto" w:fill="FFFFFF"/>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建设区域性商贸物流枢纽。</w:t>
      </w:r>
      <w:r>
        <w:rPr>
          <w:rFonts w:ascii="仿宋_GB2312" w:eastAsia="仿宋_GB2312" w:hAnsi="仿宋_GB2312" w:cs="仿宋_GB2312" w:hint="eastAsia"/>
          <w:sz w:val="32"/>
          <w:szCs w:val="32"/>
        </w:rPr>
        <w:t>推进建设国家农高区物流板块、中国北方农产品物流中心，打造现代化绿色食品物流基地，在粮食物流、农畜产品物流、农资物流、区域特色食品物流、方便食品物流、农机零部件物流等领域提前布局。加快建设范家屯东北智慧物流区，打造中通、申通、韵达快递等电商产业园和总部基地，推进建设青怡坊花卉苗木智慧物流产业园，完善商贸</w:t>
      </w:r>
      <w:r>
        <w:rPr>
          <w:rFonts w:ascii="仿宋_GB2312" w:eastAsia="仿宋_GB2312" w:hAnsi="仿宋_GB2312" w:cs="仿宋_GB2312"/>
          <w:sz w:val="32"/>
          <w:szCs w:val="32"/>
        </w:rPr>
        <w:t>物流</w:t>
      </w:r>
      <w:r>
        <w:rPr>
          <w:rFonts w:ascii="仿宋_GB2312" w:eastAsia="仿宋_GB2312" w:hAnsi="仿宋_GB2312" w:cs="仿宋_GB2312" w:hint="eastAsia"/>
          <w:sz w:val="32"/>
          <w:szCs w:val="32"/>
        </w:rPr>
        <w:t>服务功能。建设大岭汽车物流小镇，推动大岭</w:t>
      </w:r>
      <w:r>
        <w:rPr>
          <w:rFonts w:ascii="仿宋_GB2312" w:eastAsia="仿宋_GB2312" w:hAnsi="仿宋_GB2312" w:cs="仿宋_GB2312"/>
          <w:sz w:val="32"/>
          <w:szCs w:val="32"/>
        </w:rPr>
        <w:t>物流</w:t>
      </w:r>
      <w:r>
        <w:rPr>
          <w:rFonts w:ascii="仿宋_GB2312" w:eastAsia="仿宋_GB2312" w:hAnsi="仿宋_GB2312" w:cs="仿宋_GB2312" w:hint="eastAsia"/>
          <w:sz w:val="32"/>
          <w:szCs w:val="32"/>
        </w:rPr>
        <w:t>园区由单一物流向综合物流功能过渡、由平台物流向产业物流转变。支持商贸流通企业、商贸综合体和专业市场线上线下互动融合发展，推进“实体经济+电子商务+现代流通”产业发展模式，支持华生集团、温州商城、家得乐等商贸流通企业开拓新业态、新模式。培育对外经济技术合作企业，发展网络营销模式和上线经营，对接跨境电商平台，加快发展跨境电子商务B2B业务。提高区域物流运营效率，提升物流产业信息服务、工业仓储、冷链配送、综合转运、保税服务等功能，实现长春现代化都市圈内物流资源同城共享。</w:t>
      </w:r>
    </w:p>
    <w:tbl>
      <w:tblPr>
        <w:tblStyle w:val="af0"/>
        <w:tblW w:w="0" w:type="auto"/>
        <w:tblLook w:val="04A0" w:firstRow="1" w:lastRow="0" w:firstColumn="1" w:lastColumn="0" w:noHBand="0" w:noVBand="1"/>
      </w:tblPr>
      <w:tblGrid>
        <w:gridCol w:w="8296"/>
      </w:tblGrid>
      <w:tr w:rsidR="00501569" w14:paraId="30B18028" w14:textId="77777777" w:rsidTr="007C4A68">
        <w:trPr>
          <w:trHeight w:val="841"/>
        </w:trPr>
        <w:tc>
          <w:tcPr>
            <w:tcW w:w="8522" w:type="dxa"/>
          </w:tcPr>
          <w:p w14:paraId="23D1D386" w14:textId="77777777" w:rsidR="00501569" w:rsidRDefault="00C74794" w:rsidP="0045498C">
            <w:pPr>
              <w:adjustRightInd w:val="0"/>
              <w:snapToGrid w:val="0"/>
              <w:spacing w:beforeLines="25" w:before="78" w:line="360" w:lineRule="auto"/>
              <w:jc w:val="center"/>
              <w:rPr>
                <w:rFonts w:ascii="楷体_GB2312" w:eastAsia="楷体_GB2312" w:hAnsi="楷体_GB2312" w:cs="楷体_GB2312"/>
                <w:b/>
                <w:sz w:val="28"/>
                <w:szCs w:val="28"/>
              </w:rPr>
            </w:pPr>
            <w:r>
              <w:rPr>
                <w:rFonts w:ascii="楷体_GB2312" w:eastAsia="楷体_GB2312" w:hAnsi="楷体_GB2312" w:cs="楷体_GB2312"/>
                <w:b/>
                <w:sz w:val="28"/>
                <w:szCs w:val="28"/>
              </w:rPr>
              <w:t>专栏</w:t>
            </w:r>
            <w:r>
              <w:rPr>
                <w:rFonts w:ascii="楷体_GB2312" w:eastAsia="楷体_GB2312" w:hAnsi="楷体_GB2312" w:cs="楷体_GB2312" w:hint="eastAsia"/>
                <w:b/>
                <w:sz w:val="28"/>
                <w:szCs w:val="28"/>
              </w:rPr>
              <w:t>7</w:t>
            </w:r>
            <w:r>
              <w:rPr>
                <w:rFonts w:ascii="楷体_GB2312" w:eastAsia="楷体_GB2312" w:hAnsi="楷体_GB2312" w:cs="楷体_GB2312"/>
                <w:b/>
                <w:sz w:val="28"/>
                <w:szCs w:val="28"/>
              </w:rPr>
              <w:t>：</w:t>
            </w:r>
            <w:r>
              <w:rPr>
                <w:rFonts w:ascii="楷体_GB2312" w:eastAsia="楷体_GB2312" w:hAnsi="楷体_GB2312" w:cs="楷体_GB2312" w:hint="eastAsia"/>
                <w:b/>
                <w:sz w:val="28"/>
                <w:szCs w:val="28"/>
              </w:rPr>
              <w:t>现代物流产业</w:t>
            </w:r>
            <w:r>
              <w:rPr>
                <w:rFonts w:ascii="楷体_GB2312" w:eastAsia="楷体_GB2312" w:hAnsi="楷体_GB2312" w:cs="楷体_GB2312"/>
                <w:b/>
                <w:sz w:val="28"/>
                <w:szCs w:val="28"/>
              </w:rPr>
              <w:t>重点项目</w:t>
            </w:r>
          </w:p>
          <w:p w14:paraId="43AC90A6"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东北智慧物流园区：</w:t>
            </w:r>
            <w:r>
              <w:rPr>
                <w:rFonts w:ascii="宋体" w:eastAsia="宋体" w:hAnsi="宋体" w:cs="宋体" w:hint="eastAsia"/>
                <w:szCs w:val="21"/>
              </w:rPr>
              <w:t>建设物流配送、现代仓储、多式联运、物流金融、电商平台、结算中心等，招商引资一批省内外物流企业和项目。</w:t>
            </w:r>
          </w:p>
          <w:p w14:paraId="4E360965"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大岭综合</w:t>
            </w:r>
            <w:r>
              <w:rPr>
                <w:rFonts w:ascii="宋体" w:eastAsia="宋体" w:hAnsi="宋体" w:cs="宋体"/>
                <w:b/>
                <w:szCs w:val="21"/>
              </w:rPr>
              <w:t>物流区：</w:t>
            </w:r>
            <w:r>
              <w:rPr>
                <w:rFonts w:ascii="宋体" w:eastAsia="宋体" w:hAnsi="宋体" w:cs="宋体" w:hint="eastAsia"/>
                <w:szCs w:val="21"/>
              </w:rPr>
              <w:t>总投资60-80亿元，主要涉及整车物流、第三方物流、冷链物流、</w:t>
            </w:r>
            <w:r>
              <w:rPr>
                <w:rFonts w:ascii="宋体" w:eastAsia="宋体" w:hAnsi="宋体" w:cs="宋体" w:hint="eastAsia"/>
                <w:szCs w:val="21"/>
              </w:rPr>
              <w:lastRenderedPageBreak/>
              <w:t>医药物流及家具家电物流、农副产品等项目建设，同时建设物流设施平台、金融结算平台及智慧信息平台。</w:t>
            </w:r>
          </w:p>
          <w:p w14:paraId="0A134069"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中国北方农产品物流中心：</w:t>
            </w:r>
            <w:r>
              <w:rPr>
                <w:rFonts w:ascii="宋体" w:eastAsia="宋体" w:hAnsi="宋体" w:cs="宋体" w:hint="eastAsia"/>
                <w:szCs w:val="21"/>
              </w:rPr>
              <w:t>总投资21.34亿元，内设农副产品物流中心、农业装备物流产业城和农业生产资料物流中心等现代农业物流产业，建成集果品批发、蔬菜批发、蛋类批发、水产品配送、仓储及存放区于一体的物流集散交易中心。</w:t>
            </w:r>
          </w:p>
          <w:p w14:paraId="1F9AB205"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中国•</w:t>
            </w:r>
            <w:r>
              <w:rPr>
                <w:rFonts w:ascii="宋体" w:eastAsia="宋体" w:hAnsi="宋体" w:cs="仿宋_GB2312" w:hint="eastAsia"/>
                <w:b/>
                <w:szCs w:val="21"/>
              </w:rPr>
              <w:t>吉林农业装备物流产业城：</w:t>
            </w:r>
            <w:r>
              <w:rPr>
                <w:rFonts w:ascii="宋体" w:eastAsia="宋体" w:hAnsi="宋体" w:cs="宋体" w:hint="eastAsia"/>
                <w:szCs w:val="21"/>
              </w:rPr>
              <w:t>在怀德镇集中区公永路以东，长郑公路以南，谋划建设具有“一站式”全程服务体系的怀德农机项目。</w:t>
            </w:r>
          </w:p>
          <w:p w14:paraId="0CAC344C"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韵达集团吉林快递电商总部基地：</w:t>
            </w:r>
            <w:r>
              <w:rPr>
                <w:rFonts w:ascii="宋体" w:eastAsia="宋体" w:hAnsi="宋体" w:cs="宋体" w:hint="eastAsia"/>
                <w:szCs w:val="21"/>
              </w:rPr>
              <w:t>总投资4.5亿元，</w:t>
            </w:r>
            <w:r>
              <w:rPr>
                <w:rFonts w:ascii="宋体" w:eastAsia="宋体" w:hAnsi="宋体" w:hint="eastAsia"/>
              </w:rPr>
              <w:t>主要建设集快递、仓储、结算、电商、快运五大功能为一体的数字物流示范区，利用新一代信息技术，打造人工智能分拣中心、智能仓储配送中心、智慧云结算中心、电商大数据中心、智慧快运中心。</w:t>
            </w:r>
          </w:p>
          <w:p w14:paraId="455F1037" w14:textId="77777777" w:rsidR="00501569" w:rsidRDefault="00C74794">
            <w:pPr>
              <w:adjustRightInd w:val="0"/>
              <w:snapToGrid w:val="0"/>
              <w:spacing w:line="360" w:lineRule="auto"/>
              <w:ind w:firstLineChars="200" w:firstLine="422"/>
              <w:rPr>
                <w:rFonts w:ascii="宋体" w:eastAsia="宋体" w:hAnsi="宋体" w:cs="宋体"/>
                <w:bCs/>
                <w:szCs w:val="21"/>
              </w:rPr>
            </w:pPr>
            <w:r>
              <w:rPr>
                <w:rFonts w:ascii="宋体" w:eastAsia="宋体" w:hAnsi="宋体" w:cs="宋体" w:hint="eastAsia"/>
                <w:b/>
                <w:szCs w:val="21"/>
              </w:rPr>
              <w:t>申通公主岭市智慧物流产业园：</w:t>
            </w:r>
            <w:r>
              <w:rPr>
                <w:rFonts w:ascii="宋体" w:eastAsia="宋体" w:hAnsi="宋体" w:hint="eastAsia"/>
                <w:szCs w:val="21"/>
              </w:rPr>
              <w:t>总投资 10.5 亿元，</w:t>
            </w:r>
            <w:r>
              <w:rPr>
                <w:rFonts w:ascii="宋体" w:eastAsia="宋体" w:hAnsi="宋体" w:cs="仿宋" w:hint="eastAsia"/>
                <w:szCs w:val="21"/>
              </w:rPr>
              <w:t>项目规划总占地面积</w:t>
            </w:r>
            <w:r>
              <w:rPr>
                <w:rFonts w:ascii="宋体" w:eastAsia="宋体" w:hAnsi="宋体" w:cs="仿宋" w:hint="eastAsia"/>
                <w:szCs w:val="21"/>
                <w:u w:val="single" w:color="FFFFFF"/>
              </w:rPr>
              <w:t>25.3万</w:t>
            </w:r>
            <w:r>
              <w:rPr>
                <w:rFonts w:ascii="宋体" w:eastAsia="宋体" w:hAnsi="宋体" w:cs="仿宋" w:hint="eastAsia"/>
                <w:szCs w:val="21"/>
              </w:rPr>
              <w:t>平方米，计容建筑面积</w:t>
            </w:r>
            <w:r>
              <w:rPr>
                <w:rFonts w:ascii="宋体" w:eastAsia="宋体" w:hAnsi="宋体" w:cs="仿宋" w:hint="eastAsia"/>
                <w:szCs w:val="21"/>
                <w:u w:val="single" w:color="FFFFFF"/>
              </w:rPr>
              <w:t>11.5万</w:t>
            </w:r>
            <w:r>
              <w:rPr>
                <w:rFonts w:ascii="宋体" w:eastAsia="宋体" w:hAnsi="宋体" w:cs="仿宋" w:hint="eastAsia"/>
                <w:szCs w:val="21"/>
              </w:rPr>
              <w:t>平方米，主要建设</w:t>
            </w:r>
            <w:r>
              <w:rPr>
                <w:rFonts w:ascii="宋体" w:eastAsia="宋体" w:hAnsi="宋体" w:cs="仿宋" w:hint="eastAsia"/>
                <w:szCs w:val="21"/>
                <w:u w:val="single" w:color="FFFFFF"/>
              </w:rPr>
              <w:t>2</w:t>
            </w:r>
            <w:r>
              <w:rPr>
                <w:rFonts w:ascii="宋体" w:eastAsia="宋体" w:hAnsi="宋体" w:cs="仿宋" w:hint="eastAsia"/>
                <w:szCs w:val="21"/>
              </w:rPr>
              <w:t>个分拣车间，综合办公楼以及其他辅助用房。</w:t>
            </w:r>
          </w:p>
          <w:p w14:paraId="6AFDE831" w14:textId="77777777" w:rsidR="00501569" w:rsidRDefault="00C74794">
            <w:pPr>
              <w:adjustRightInd w:val="0"/>
              <w:snapToGrid w:val="0"/>
              <w:spacing w:line="360" w:lineRule="auto"/>
              <w:ind w:firstLineChars="200" w:firstLine="422"/>
            </w:pPr>
            <w:r>
              <w:rPr>
                <w:rFonts w:ascii="宋体" w:eastAsia="宋体" w:hAnsi="宋体" w:cs="宋体" w:hint="eastAsia"/>
                <w:b/>
                <w:szCs w:val="21"/>
              </w:rPr>
              <w:t>中通快递东北智能电商产业园：</w:t>
            </w:r>
            <w:r>
              <w:rPr>
                <w:rFonts w:ascii="宋体" w:eastAsia="宋体" w:hAnsi="宋体" w:hint="eastAsia"/>
                <w:szCs w:val="21"/>
              </w:rPr>
              <w:t>总投资约10亿元人民币，</w:t>
            </w:r>
            <w:r>
              <w:rPr>
                <w:rFonts w:ascii="宋体" w:eastAsia="宋体" w:hAnsi="宋体" w:cs="仿宋" w:hint="eastAsia"/>
                <w:szCs w:val="21"/>
              </w:rPr>
              <w:t>项目总用地面积约为21.66</w:t>
            </w:r>
            <w:r w:rsidR="007F1C19">
              <w:rPr>
                <w:rFonts w:ascii="宋体" w:eastAsia="宋体" w:hAnsi="宋体" w:cs="仿宋" w:hint="eastAsia"/>
                <w:szCs w:val="21"/>
              </w:rPr>
              <w:t>公顷</w:t>
            </w:r>
            <w:r>
              <w:rPr>
                <w:rFonts w:ascii="宋体" w:eastAsia="宋体" w:hAnsi="宋体" w:cs="仿宋" w:hint="eastAsia"/>
                <w:szCs w:val="21"/>
              </w:rPr>
              <w:t>，总建筑面积为26万平方米，</w:t>
            </w:r>
            <w:r>
              <w:rPr>
                <w:rFonts w:ascii="宋体" w:eastAsia="宋体" w:hAnsi="宋体" w:hint="eastAsia"/>
                <w:szCs w:val="21"/>
              </w:rPr>
              <w:t>主要建设智能化快件分拣中心、快运分拣车间、办公楼、电子商务中心、云仓中心、倒班楼等主体工程及公共服务设施、停车场等配套辅助工程。</w:t>
            </w:r>
          </w:p>
          <w:p w14:paraId="29C19451"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商品车公铁水联运示范工程项目：</w:t>
            </w:r>
            <w:r>
              <w:rPr>
                <w:rFonts w:ascii="宋体" w:eastAsia="宋体" w:hAnsi="宋体" w:cs="宋体" w:hint="eastAsia"/>
                <w:szCs w:val="21"/>
              </w:rPr>
              <w:t>建设4条850米铁路专用线，总长度3.4公里，配套建设商品车场地及附属设施、集装箱站台及堆场、货运信息与交易中心等。</w:t>
            </w:r>
          </w:p>
          <w:p w14:paraId="0263AC4A"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红星美凯龙（吉林）总部电子商务智慧物流城：</w:t>
            </w:r>
            <w:r>
              <w:rPr>
                <w:rFonts w:ascii="宋体" w:eastAsia="宋体" w:hAnsi="宋体" w:cs="宋体" w:hint="eastAsia"/>
                <w:szCs w:val="21"/>
              </w:rPr>
              <w:t>建设物流综合设施、公共物流信息服务、总部金额结算服务三大平台，打造集“智能仓储、云端配送、电子商务、大数据整合”为一体的数字化智能综合物流园区。</w:t>
            </w:r>
          </w:p>
          <w:p w14:paraId="44D54396"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富晟物流智慧物流大数据应用平台：</w:t>
            </w:r>
            <w:r>
              <w:rPr>
                <w:rFonts w:ascii="宋体" w:eastAsia="宋体" w:hAnsi="宋体" w:cs="宋体" w:hint="eastAsia"/>
                <w:szCs w:val="21"/>
              </w:rPr>
              <w:t>建设智能化物流大数据应用平台，包括智能仓储中心基础网络系统、智能物流管理信息系统、自动化系统。</w:t>
            </w:r>
          </w:p>
          <w:p w14:paraId="448EADE2"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szCs w:val="21"/>
              </w:rPr>
              <w:t>青怡坊花卉苗木智慧物流产业园：</w:t>
            </w:r>
            <w:r>
              <w:rPr>
                <w:rFonts w:ascii="宋体" w:eastAsia="宋体" w:hAnsi="宋体" w:hint="eastAsia"/>
              </w:rPr>
              <w:t>总投资150亿元,</w:t>
            </w:r>
            <w:r>
              <w:rPr>
                <w:rFonts w:ascii="宋体" w:eastAsia="宋体" w:hAnsi="宋体" w:cs="宋体"/>
                <w:szCs w:val="21"/>
              </w:rPr>
              <w:t>打造花卉苗木智慧物流产业园区，建设现代化的花卉苗木及农产品物流技术、信息、设备、人才、管理、资源、客户的集中区。</w:t>
            </w:r>
          </w:p>
        </w:tc>
      </w:tr>
    </w:tbl>
    <w:p w14:paraId="248E5C32"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27" w:name="_Toc4795"/>
      <w:r w:rsidRPr="005717BE">
        <w:rPr>
          <w:rFonts w:ascii="楷体_GB2312" w:eastAsia="楷体_GB2312" w:hAnsi="楷体_GB2312" w:cs="楷体_GB2312" w:hint="eastAsia"/>
          <w:b/>
          <w:bCs/>
          <w:sz w:val="32"/>
          <w:szCs w:val="32"/>
        </w:rPr>
        <w:lastRenderedPageBreak/>
        <w:t>第四节 实施现代种子产业发展提速工程</w:t>
      </w:r>
      <w:bookmarkEnd w:id="27"/>
    </w:p>
    <w:p w14:paraId="04739F98"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充分发挥东北三省一区种子集散地优势，依托长春农高区，重点发展生物育种基础研究、技术应用研究、玉米种业示范推广和玉米种子交易，形成繁育推一体化产业链条，提</w:t>
      </w:r>
      <w:r>
        <w:rPr>
          <w:rFonts w:ascii="仿宋_GB2312" w:eastAsia="仿宋_GB2312" w:hAnsi="仿宋_GB2312" w:cs="仿宋_GB2312" w:hint="eastAsia"/>
          <w:sz w:val="32"/>
          <w:szCs w:val="32"/>
        </w:rPr>
        <w:lastRenderedPageBreak/>
        <w:t>升在国内种业市场的竞争力。“十四五”期间，建立15个试验示范基地，培育10家繁育推一体化企业。</w:t>
      </w:r>
    </w:p>
    <w:p w14:paraId="62BE2AE3"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加强良种领域科企联合攻关。</w:t>
      </w:r>
      <w:r>
        <w:rPr>
          <w:rFonts w:ascii="仿宋_GB2312" w:eastAsia="仿宋_GB2312" w:hAnsi="仿宋_GB2312" w:cs="仿宋_GB2312" w:hint="eastAsia"/>
          <w:sz w:val="32"/>
          <w:szCs w:val="32"/>
        </w:rPr>
        <w:t>加强与</w:t>
      </w:r>
      <w:r w:rsidR="00430523">
        <w:rPr>
          <w:rFonts w:ascii="仿宋_GB2312" w:eastAsia="仿宋_GB2312" w:hAnsi="仿宋_GB2312" w:cs="仿宋_GB2312" w:hint="eastAsia"/>
          <w:sz w:val="32"/>
          <w:szCs w:val="32"/>
        </w:rPr>
        <w:t>中科院、</w:t>
      </w:r>
      <w:r>
        <w:rPr>
          <w:rFonts w:ascii="仿宋_GB2312" w:eastAsia="仿宋_GB2312" w:hAnsi="仿宋_GB2312" w:cs="仿宋_GB2312" w:hint="eastAsia"/>
          <w:sz w:val="32"/>
          <w:szCs w:val="32"/>
        </w:rPr>
        <w:t>省农科院、国家玉米改良中心等科研机构和种业研发中心战略合作，强化与</w:t>
      </w:r>
      <w:r w:rsidR="00430523">
        <w:rPr>
          <w:rFonts w:ascii="仿宋_GB2312" w:eastAsia="仿宋_GB2312" w:hAnsi="仿宋_GB2312" w:cs="仿宋_GB2312" w:hint="eastAsia"/>
          <w:sz w:val="32"/>
          <w:szCs w:val="32"/>
        </w:rPr>
        <w:t>新正达、美国</w:t>
      </w:r>
      <w:r w:rsidR="00C24AAF">
        <w:rPr>
          <w:rFonts w:ascii="仿宋_GB2312" w:eastAsia="仿宋_GB2312" w:hAnsi="仿宋_GB2312" w:cs="仿宋_GB2312" w:hint="eastAsia"/>
          <w:sz w:val="32"/>
          <w:szCs w:val="32"/>
        </w:rPr>
        <w:t>孟山都</w:t>
      </w:r>
      <w:r>
        <w:rPr>
          <w:rFonts w:ascii="仿宋_GB2312" w:eastAsia="仿宋_GB2312" w:hAnsi="仿宋_GB2312" w:cs="仿宋_GB2312" w:hint="eastAsia"/>
          <w:sz w:val="32"/>
          <w:szCs w:val="32"/>
        </w:rPr>
        <w:t>等种业巨头技术合作，全力推进玉米作物良种联合攻关。完善公主岭种子特色街区基础设施，加快建设玉米种业研发中心、玉米良种选育展示中心、玉米综合技术评价中心和玉米种子交易中心。发挥省农科院技术优势，促进龙头企业与科研院所强强联合，探索产学研用融合，高标准建设科研育种基地，推进建设生物育种专区和科研配套服务区，构建国家玉米良种繁育与应用高地，打造全国种业发展核心基地。</w:t>
      </w:r>
    </w:p>
    <w:p w14:paraId="348027CC"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提升种子三化水平。</w:t>
      </w:r>
      <w:r>
        <w:rPr>
          <w:rFonts w:ascii="仿宋_GB2312" w:eastAsia="仿宋_GB2312" w:hAnsi="仿宋_GB2312" w:cs="仿宋_GB2312" w:hint="eastAsia"/>
          <w:sz w:val="32"/>
          <w:szCs w:val="32"/>
        </w:rPr>
        <w:t>全面推进种子生产全程机械化，加速制种关键环节农机装备研发，加强制种农机农艺技术配套，大力发展专业化制种农机服务组织。推行种子标准化，加强品种特征、特性及种子生产、质量、检验方法、包装、运输、贮藏等方面标准化管理。推进种子产业化，通过农高区项目和政策吸引，聚集优势企业，鼓励企业加大投入，建设现代种子加工设施，打造制种及相关产业集群。</w:t>
      </w:r>
    </w:p>
    <w:p w14:paraId="33839514" w14:textId="77777777" w:rsidR="00501569" w:rsidRDefault="00C74794">
      <w:pPr>
        <w:widowControl/>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bCs/>
          <w:sz w:val="32"/>
          <w:szCs w:val="32"/>
        </w:rPr>
        <w:t>加快数字种业建设。</w:t>
      </w:r>
      <w:r>
        <w:rPr>
          <w:rFonts w:ascii="仿宋_GB2312" w:eastAsia="仿宋_GB2312" w:hAnsi="仿宋_GB2312" w:cs="仿宋_GB2312" w:hint="eastAsia"/>
          <w:sz w:val="32"/>
          <w:szCs w:val="32"/>
        </w:rPr>
        <w:t>依托吉农高新、鸿泽、丰田等种业企业，建设种业大数据平台，推进农作物种质资源管理、种子价格监测、品种区试管理等板块整合和数据融合。探索构</w:t>
      </w:r>
      <w:r>
        <w:rPr>
          <w:rFonts w:ascii="仿宋_GB2312" w:eastAsia="仿宋_GB2312" w:hAnsi="仿宋_GB2312" w:cs="仿宋_GB2312" w:hint="eastAsia"/>
          <w:sz w:val="32"/>
          <w:szCs w:val="32"/>
        </w:rPr>
        <w:lastRenderedPageBreak/>
        <w:t>建品种综合评价、资源深度挖掘、市场多维度评价等智能模型，实现种业数据多功能查询、智能化分析、个性化服务等功能一网通办，实现种子全生命周期的监控管理，形成符合我国质量标准要求的种子追溯体系。</w:t>
      </w:r>
      <w:r>
        <w:rPr>
          <w:rFonts w:ascii="仿宋_GB2312" w:eastAsia="仿宋_GB2312" w:hAnsi="仿宋_GB2312" w:cs="仿宋_GB2312" w:hint="eastAsia"/>
          <w:bCs/>
          <w:sz w:val="32"/>
          <w:szCs w:val="32"/>
        </w:rPr>
        <w:t>构建面向东北、覆盖全国，集种子繁育、生产、加工、仓储、物流为一体的“种子硅谷”。</w:t>
      </w:r>
    </w:p>
    <w:p w14:paraId="59FADD2E"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28" w:name="_Toc15144"/>
      <w:r w:rsidRPr="005717BE">
        <w:rPr>
          <w:rFonts w:ascii="楷体_GB2312" w:eastAsia="楷体_GB2312" w:hAnsi="楷体_GB2312" w:cs="楷体_GB2312" w:hint="eastAsia"/>
          <w:b/>
          <w:bCs/>
          <w:sz w:val="32"/>
          <w:szCs w:val="32"/>
        </w:rPr>
        <w:t>第五节 实施文旅康养产业提质创优工程</w:t>
      </w:r>
      <w:bookmarkEnd w:id="28"/>
    </w:p>
    <w:p w14:paraId="08042167"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坚持全域旅游理念，依托花卉小镇、红旗小镇和温泉康养小镇建设，构建“十点五线”旅游环线发展体系，发展文化旅游、工业</w:t>
      </w:r>
      <w:r>
        <w:rPr>
          <w:rFonts w:ascii="仿宋_GB2312" w:eastAsia="仿宋_GB2312" w:hAnsi="仿宋_GB2312" w:cs="仿宋_GB2312"/>
          <w:sz w:val="32"/>
          <w:szCs w:val="32"/>
        </w:rPr>
        <w:t>旅游</w:t>
      </w:r>
      <w:r>
        <w:rPr>
          <w:rFonts w:ascii="仿宋_GB2312" w:eastAsia="仿宋_GB2312" w:hAnsi="仿宋_GB2312" w:cs="仿宋_GB2312" w:hint="eastAsia"/>
          <w:sz w:val="32"/>
          <w:szCs w:val="32"/>
        </w:rPr>
        <w:t>、康养旅游和乡村旅游，创新旅游产品和服务体系，打造旅游体验式消费引领示范区和长春现代化都市圈后花园。</w:t>
      </w:r>
    </w:p>
    <w:p w14:paraId="21823147"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大力发展</w:t>
      </w:r>
      <w:r>
        <w:rPr>
          <w:rFonts w:ascii="仿宋_GB2312" w:eastAsia="仿宋_GB2312" w:hAnsi="仿宋_GB2312" w:cs="仿宋_GB2312"/>
          <w:b/>
          <w:sz w:val="32"/>
          <w:szCs w:val="32"/>
        </w:rPr>
        <w:t>文化</w:t>
      </w:r>
      <w:r>
        <w:rPr>
          <w:rFonts w:ascii="仿宋_GB2312" w:eastAsia="仿宋_GB2312" w:hAnsi="仿宋_GB2312" w:cs="仿宋_GB2312" w:hint="eastAsia"/>
          <w:b/>
          <w:sz w:val="32"/>
          <w:szCs w:val="32"/>
        </w:rPr>
        <w:t>旅游</w:t>
      </w:r>
      <w:r>
        <w:rPr>
          <w:rFonts w:ascii="仿宋_GB2312" w:eastAsia="仿宋_GB2312" w:hAnsi="仿宋_GB2312" w:cs="仿宋_GB2312"/>
          <w:b/>
          <w:sz w:val="32"/>
          <w:szCs w:val="32"/>
        </w:rPr>
        <w:t>。</w:t>
      </w:r>
      <w:r>
        <w:rPr>
          <w:rFonts w:ascii="仿宋_GB2312" w:eastAsia="仿宋_GB2312" w:hAnsi="仿宋_GB2312" w:cs="仿宋_GB2312" w:hint="eastAsia"/>
          <w:sz w:val="32"/>
          <w:szCs w:val="32"/>
        </w:rPr>
        <w:t>推进建设特色文化产业园、范家屯青怡坊国际花卉旅游文化产业园，打造集休闲观赏销售于一体的花卉小镇。推动建设大龙山文化产业园</w:t>
      </w:r>
      <w:r w:rsidR="002A36E6">
        <w:rPr>
          <w:rFonts w:ascii="仿宋_GB2312" w:eastAsia="仿宋_GB2312" w:hAnsi="仿宋_GB2312" w:cs="仿宋_GB2312" w:hint="eastAsia"/>
          <w:sz w:val="32"/>
          <w:szCs w:val="32"/>
        </w:rPr>
        <w:t>、二十家子南山满族文化园</w:t>
      </w:r>
      <w:r>
        <w:rPr>
          <w:rFonts w:ascii="仿宋_GB2312" w:eastAsia="仿宋_GB2312" w:hAnsi="仿宋_GB2312" w:cs="仿宋_GB2312" w:hint="eastAsia"/>
          <w:sz w:val="32"/>
          <w:szCs w:val="32"/>
        </w:rPr>
        <w:t>，打造集采摘、康养、休闲观光、满族风情展示为一体的特色文化园。完善产业政策体系，加快发展以文化创意、影视制作、演艺娱乐、印刷、广告、会展、动漫等为重点的文化产业。充分挖掘古迹、书画、诗词、戏曲文化资源，开发剪纸、刺绣、泥塑、农民画等文化艺术产品及衍生艺术品，不断延伸文化产业链条，加强工艺产品设计和文化创意，打造一批文化旅游商品，培育一批工艺美术企业，以</w:t>
      </w:r>
      <w:r>
        <w:rPr>
          <w:rFonts w:ascii="仿宋_GB2312" w:eastAsia="仿宋_GB2312" w:hAnsi="仿宋_GB2312" w:cs="仿宋_GB2312" w:hint="eastAsia"/>
          <w:sz w:val="32"/>
          <w:szCs w:val="32"/>
        </w:rPr>
        <w:lastRenderedPageBreak/>
        <w:t>文化促进旅游发展，以旅游带动文化振兴。</w:t>
      </w:r>
    </w:p>
    <w:p w14:paraId="1AA947DD"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培育发展工业旅游</w:t>
      </w:r>
      <w:r>
        <w:rPr>
          <w:rFonts w:ascii="仿宋_GB2312" w:eastAsia="仿宋_GB2312" w:hAnsi="仿宋_GB2312" w:cs="仿宋_GB2312"/>
          <w:b/>
          <w:sz w:val="32"/>
          <w:szCs w:val="32"/>
        </w:rPr>
        <w:t>。</w:t>
      </w:r>
      <w:r>
        <w:rPr>
          <w:rFonts w:ascii="仿宋_GB2312" w:eastAsia="仿宋_GB2312" w:hAnsi="仿宋_GB2312" w:cs="仿宋_GB2312" w:hint="eastAsia"/>
          <w:sz w:val="32"/>
          <w:szCs w:val="32"/>
        </w:rPr>
        <w:t>以</w:t>
      </w:r>
      <w:r>
        <w:rPr>
          <w:rFonts w:ascii="仿宋_GB2312" w:eastAsia="仿宋_GB2312" w:hAnsi="仿宋_GB2312" w:cs="仿宋_GB2312" w:hint="eastAsia"/>
          <w:w w:val="97"/>
          <w:sz w:val="32"/>
          <w:szCs w:val="32"/>
        </w:rPr>
        <w:t>公主岭经开区和大岭汽车物流园区为载体，</w:t>
      </w:r>
      <w:r>
        <w:rPr>
          <w:rFonts w:ascii="仿宋_GB2312" w:eastAsia="仿宋_GB2312" w:hAnsi="仿宋_GB2312" w:cs="仿宋_GB2312" w:hint="eastAsia"/>
          <w:sz w:val="32"/>
          <w:szCs w:val="32"/>
        </w:rPr>
        <w:t>培育汽车文化旅游新业态，推进汽车产业与文化创意、文化艺术、主题娱乐等内容融合发展</w:t>
      </w:r>
      <w:r>
        <w:rPr>
          <w:rFonts w:ascii="仿宋_GB2312" w:eastAsia="仿宋_GB2312" w:hAnsi="仿宋_GB2312" w:cs="仿宋_GB2312" w:hint="eastAsia"/>
          <w:w w:val="97"/>
          <w:sz w:val="32"/>
          <w:szCs w:val="32"/>
        </w:rPr>
        <w:t>。</w:t>
      </w:r>
      <w:r>
        <w:rPr>
          <w:rFonts w:ascii="仿宋_GB2312" w:eastAsia="仿宋_GB2312" w:hAnsi="仿宋_GB2312" w:cs="仿宋_GB2312" w:hint="eastAsia"/>
          <w:sz w:val="32"/>
          <w:szCs w:val="32"/>
        </w:rPr>
        <w:t>盘活现有历史建筑，增加汽车创意工作室、汽车主题旅馆、汽车公共艺术等功能业态。新建工业主题文旅项目，开放厂区部分生产线进行工业文化旅游参观，提升汽车文化影响力与旅游业经济效益。依托国际汽车城和一汽红旗智能小镇，拓展一汽历史文化街区内涵，以汽车新文化体验、休闲、创新为主导，建设汽车主题文化设施、科技体验设施、汽车旅游公园，开展车体涂鸦、文创产品集市、汽车电影艺术节等汽车文化主题活动，丰富汽车文化内涵，培育“中国汽车未来文化体验区”。</w:t>
      </w:r>
    </w:p>
    <w:p w14:paraId="6B369F4E"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壮大发展</w:t>
      </w:r>
      <w:r>
        <w:rPr>
          <w:rFonts w:ascii="仿宋_GB2312" w:eastAsia="仿宋_GB2312" w:hAnsi="仿宋_GB2312" w:cs="仿宋_GB2312"/>
          <w:b/>
          <w:sz w:val="32"/>
          <w:szCs w:val="32"/>
        </w:rPr>
        <w:t>康养</w:t>
      </w:r>
      <w:r>
        <w:rPr>
          <w:rFonts w:ascii="仿宋_GB2312" w:eastAsia="仿宋_GB2312" w:hAnsi="仿宋_GB2312" w:cs="仿宋_GB2312" w:hint="eastAsia"/>
          <w:b/>
          <w:sz w:val="32"/>
          <w:szCs w:val="32"/>
        </w:rPr>
        <w:t>旅游</w:t>
      </w:r>
      <w:r>
        <w:rPr>
          <w:rFonts w:ascii="仿宋_GB2312" w:eastAsia="仿宋_GB2312" w:hAnsi="仿宋_GB2312" w:cs="仿宋_GB2312"/>
          <w:b/>
          <w:sz w:val="32"/>
          <w:szCs w:val="32"/>
        </w:rPr>
        <w:t>。</w:t>
      </w:r>
      <w:r>
        <w:rPr>
          <w:rFonts w:ascii="仿宋_GB2312" w:eastAsia="仿宋_GB2312" w:hAnsi="仿宋_GB2312" w:cs="仿宋_GB2312" w:hint="eastAsia"/>
          <w:sz w:val="32"/>
          <w:szCs w:val="32"/>
        </w:rPr>
        <w:t>推进建设恒大文化旅游城、温泉城、养生谷，促进旅游休闲和健康养生深度融合，构建集休闲度假、特色医疗、保健养生于一体的温泉康养小镇，努力打造成东北最大的温泉康养综合区。充分利用水库、森林、山地等自然资源，发挥八大岭森林休闲公园、大龙山文化园旅游优势，建设康养旅游小镇。发展庄园养生，以二龙湖玫瑰园为载体，利用玫瑰种植景观、乡村田野空间、二龙湖优质水源，促进玫瑰种植、精油加工、玫瑰酒酿造等与旅游业相结合，打造集观赏、品尝、休闲、劳作等于</w:t>
      </w:r>
      <w:r>
        <w:rPr>
          <w:rFonts w:ascii="仿宋_GB2312" w:eastAsia="仿宋_GB2312" w:hAnsi="仿宋_GB2312" w:cs="仿宋_GB2312"/>
          <w:sz w:val="32"/>
          <w:szCs w:val="32"/>
        </w:rPr>
        <w:t>一</w:t>
      </w:r>
      <w:r>
        <w:rPr>
          <w:rFonts w:ascii="仿宋_GB2312" w:eastAsia="仿宋_GB2312" w:hAnsi="仿宋_GB2312" w:cs="仿宋_GB2312" w:hint="eastAsia"/>
          <w:sz w:val="32"/>
          <w:szCs w:val="32"/>
        </w:rPr>
        <w:t>体</w:t>
      </w:r>
      <w:r>
        <w:rPr>
          <w:rFonts w:ascii="仿宋_GB2312" w:eastAsia="仿宋_GB2312" w:hAnsi="仿宋_GB2312" w:cs="仿宋_GB2312"/>
          <w:sz w:val="32"/>
          <w:szCs w:val="32"/>
        </w:rPr>
        <w:t>的</w:t>
      </w:r>
      <w:r>
        <w:rPr>
          <w:rFonts w:ascii="仿宋_GB2312" w:eastAsia="仿宋_GB2312" w:hAnsi="仿宋_GB2312" w:cs="仿宋_GB2312" w:hint="eastAsia"/>
          <w:sz w:val="32"/>
          <w:szCs w:val="32"/>
        </w:rPr>
        <w:t>体验性健康养生旅游</w:t>
      </w:r>
      <w:r>
        <w:rPr>
          <w:rFonts w:ascii="仿宋_GB2312" w:eastAsia="仿宋_GB2312" w:hAnsi="仿宋_GB2312" w:cs="仿宋_GB2312"/>
          <w:sz w:val="32"/>
          <w:szCs w:val="32"/>
        </w:rPr>
        <w:t>线路</w:t>
      </w:r>
      <w:r>
        <w:rPr>
          <w:rFonts w:ascii="仿宋_GB2312" w:eastAsia="仿宋_GB2312" w:hAnsi="仿宋_GB2312" w:cs="仿宋_GB2312" w:hint="eastAsia"/>
          <w:sz w:val="32"/>
          <w:szCs w:val="32"/>
        </w:rPr>
        <w:t>。开发体育健康旅游产品，围绕二龙湖、东辽</w:t>
      </w:r>
      <w:r>
        <w:rPr>
          <w:rFonts w:ascii="仿宋_GB2312" w:eastAsia="仿宋_GB2312" w:hAnsi="仿宋_GB2312" w:cs="仿宋_GB2312" w:hint="eastAsia"/>
          <w:sz w:val="32"/>
          <w:szCs w:val="32"/>
        </w:rPr>
        <w:lastRenderedPageBreak/>
        <w:t>河、新凯河和龙山、二十家子，建设</w:t>
      </w:r>
      <w:r w:rsidR="00FE769C">
        <w:rPr>
          <w:rFonts w:ascii="仿宋_GB2312" w:eastAsia="仿宋_GB2312" w:hAnsi="仿宋_GB2312" w:cs="仿宋_GB2312" w:hint="eastAsia"/>
          <w:sz w:val="32"/>
          <w:szCs w:val="32"/>
        </w:rPr>
        <w:t>慢行</w:t>
      </w:r>
      <w:r>
        <w:rPr>
          <w:rFonts w:ascii="仿宋_GB2312" w:eastAsia="仿宋_GB2312" w:hAnsi="仿宋_GB2312" w:cs="仿宋_GB2312" w:hint="eastAsia"/>
          <w:sz w:val="32"/>
          <w:szCs w:val="32"/>
        </w:rPr>
        <w:t>步道等养生健身活动场地，引导发展自驾游、健身游、体育竞技、大型科技游乐等旅游新业态。</w:t>
      </w:r>
    </w:p>
    <w:p w14:paraId="298A721E" w14:textId="77777777" w:rsidR="00501569" w:rsidRDefault="00C74794">
      <w:pPr>
        <w:widowControl/>
        <w:adjustRightInd w:val="0"/>
        <w:ind w:firstLineChars="200" w:firstLine="643"/>
        <w:rPr>
          <w:rFonts w:ascii="仿宋_GB2312" w:eastAsia="仿宋_GB2312" w:hAnsi="仿宋_GB2312" w:cs="仿宋_GB2312"/>
          <w:kern w:val="0"/>
          <w:sz w:val="32"/>
          <w:szCs w:val="32"/>
        </w:rPr>
      </w:pPr>
      <w:r>
        <w:rPr>
          <w:rFonts w:ascii="仿宋_GB2312" w:eastAsia="仿宋_GB2312" w:hAnsi="仿宋_GB2312" w:cs="仿宋_GB2312" w:hint="eastAsia"/>
          <w:b/>
          <w:bCs/>
          <w:kern w:val="0"/>
          <w:sz w:val="32"/>
          <w:szCs w:val="32"/>
        </w:rPr>
        <w:t>加快发展乡村旅游</w:t>
      </w:r>
      <w:r>
        <w:rPr>
          <w:rFonts w:ascii="仿宋_GB2312" w:eastAsia="仿宋_GB2312" w:hAnsi="仿宋_GB2312" w:cs="仿宋_GB2312" w:hint="eastAsia"/>
          <w:b/>
          <w:kern w:val="0"/>
          <w:sz w:val="32"/>
          <w:szCs w:val="32"/>
        </w:rPr>
        <w:t>。</w:t>
      </w:r>
      <w:r>
        <w:rPr>
          <w:rFonts w:ascii="仿宋_GB2312" w:eastAsia="仿宋_GB2312" w:hAnsi="仿宋_GB2312" w:cs="仿宋_GB2312" w:hint="eastAsia"/>
          <w:kern w:val="0"/>
          <w:sz w:val="32"/>
          <w:szCs w:val="32"/>
        </w:rPr>
        <w:t>深入发掘农业农村生态涵养、休闲观光、文化体验、健康养老等多种功能和多重价值，发展乡村旅游和观光休闲农业，推进乡村民宿、健康养老、民俗展览、旅游休闲等产业融合发展。支持农业企业、家庭农场、农村集体经济组织创办休闲旅游合作社，与社会工商资本联办休闲农业和乡村旅游企业。开展休闲农业和乡村旅游示范创建活动，创建一批美丽休闲乡村和示范星级企业。开展精品线路和景点推介活动，帮助休闲农业企业、合作组织宣传推介休闲产品。</w:t>
      </w:r>
    </w:p>
    <w:tbl>
      <w:tblPr>
        <w:tblStyle w:val="af0"/>
        <w:tblW w:w="0" w:type="auto"/>
        <w:tblLook w:val="04A0" w:firstRow="1" w:lastRow="0" w:firstColumn="1" w:lastColumn="0" w:noHBand="0" w:noVBand="1"/>
      </w:tblPr>
      <w:tblGrid>
        <w:gridCol w:w="8296"/>
      </w:tblGrid>
      <w:tr w:rsidR="007C4A68" w14:paraId="4CB299B0" w14:textId="77777777" w:rsidTr="007C4A68">
        <w:tc>
          <w:tcPr>
            <w:tcW w:w="8522" w:type="dxa"/>
          </w:tcPr>
          <w:p w14:paraId="3F48A943" w14:textId="77777777" w:rsidR="007C4A68" w:rsidRDefault="007C4A68" w:rsidP="0045498C">
            <w:pPr>
              <w:spacing w:beforeLines="25" w:before="78" w:line="300" w:lineRule="auto"/>
              <w:ind w:firstLine="643"/>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专栏</w:t>
            </w:r>
            <w:r>
              <w:rPr>
                <w:rFonts w:ascii="楷体_GB2312" w:eastAsia="楷体_GB2312" w:hAnsi="楷体_GB2312" w:cs="楷体_GB2312"/>
                <w:b/>
                <w:sz w:val="28"/>
                <w:szCs w:val="28"/>
              </w:rPr>
              <w:t>8</w:t>
            </w:r>
            <w:r>
              <w:rPr>
                <w:rFonts w:ascii="楷体_GB2312" w:eastAsia="楷体_GB2312" w:hAnsi="楷体_GB2312" w:cs="楷体_GB2312" w:hint="eastAsia"/>
                <w:b/>
                <w:sz w:val="28"/>
                <w:szCs w:val="28"/>
              </w:rPr>
              <w:t>：文旅康养产业重点项目</w:t>
            </w:r>
          </w:p>
          <w:p w14:paraId="61924A4D" w14:textId="77777777" w:rsidR="007C4A68" w:rsidRDefault="007C4A68" w:rsidP="007C4A68">
            <w:pPr>
              <w:adjustRightInd w:val="0"/>
              <w:snapToGrid w:val="0"/>
              <w:spacing w:line="360" w:lineRule="auto"/>
              <w:ind w:firstLineChars="200" w:firstLine="422"/>
              <w:rPr>
                <w:rFonts w:ascii="宋体" w:eastAsia="宋体" w:hAnsi="宋体" w:cs="Times New Roman"/>
                <w:bCs/>
                <w:szCs w:val="21"/>
              </w:rPr>
            </w:pPr>
            <w:r>
              <w:rPr>
                <w:rFonts w:ascii="宋体" w:eastAsia="宋体" w:hAnsi="宋体" w:cs="Times New Roman" w:hint="eastAsia"/>
                <w:b/>
                <w:szCs w:val="21"/>
              </w:rPr>
              <w:t>“十点五线”旅游环线：“十点”</w:t>
            </w:r>
            <w:r>
              <w:rPr>
                <w:rFonts w:ascii="宋体" w:eastAsia="宋体" w:hAnsi="宋体" w:cs="Times New Roman" w:hint="eastAsia"/>
                <w:bCs/>
                <w:szCs w:val="21"/>
              </w:rPr>
              <w:t>即</w:t>
            </w:r>
            <w:r>
              <w:rPr>
                <w:rFonts w:ascii="宋体" w:eastAsia="宋体" w:hAnsi="宋体" w:cs="宋体" w:hint="eastAsia"/>
                <w:bCs/>
                <w:szCs w:val="21"/>
              </w:rPr>
              <w:t>恒大文旅城─</w:t>
            </w:r>
            <w:r>
              <w:rPr>
                <w:rFonts w:ascii="宋体" w:eastAsia="宋体" w:hAnsi="宋体" w:cs="Times New Roman" w:hint="eastAsia"/>
                <w:bCs/>
                <w:szCs w:val="21"/>
              </w:rPr>
              <w:t>双青湖旅游度假区─公主陵遗址─俄式建筑群─于凤至故居─廿家子水库风景区─南山满族文化园─安龙潭寺─玫瑰山旅游度假区─大龙山文化产业园。</w:t>
            </w:r>
            <w:r>
              <w:rPr>
                <w:rFonts w:ascii="宋体" w:eastAsia="宋体" w:hAnsi="宋体" w:cs="Times New Roman" w:hint="eastAsia"/>
                <w:b/>
                <w:szCs w:val="21"/>
              </w:rPr>
              <w:t>“五线”</w:t>
            </w:r>
            <w:r>
              <w:rPr>
                <w:rFonts w:ascii="宋体" w:eastAsia="宋体" w:hAnsi="宋体" w:cs="Times New Roman" w:hint="eastAsia"/>
                <w:bCs/>
                <w:szCs w:val="21"/>
              </w:rPr>
              <w:t>即山线、水线、农线、人文线、宗教线。</w:t>
            </w:r>
          </w:p>
          <w:p w14:paraId="44395971" w14:textId="77777777" w:rsidR="007C4A68" w:rsidRDefault="007C4A68" w:rsidP="007C4A68">
            <w:pPr>
              <w:adjustRightInd w:val="0"/>
              <w:snapToGrid w:val="0"/>
              <w:spacing w:line="360" w:lineRule="auto"/>
              <w:ind w:firstLineChars="200" w:firstLine="422"/>
              <w:rPr>
                <w:rFonts w:ascii="宋体" w:eastAsia="宋体" w:hAnsi="宋体" w:cs="Times New Roman"/>
                <w:bCs/>
                <w:szCs w:val="21"/>
              </w:rPr>
            </w:pPr>
            <w:r>
              <w:rPr>
                <w:rFonts w:ascii="宋体" w:eastAsia="宋体" w:hAnsi="宋体" w:cs="Times New Roman" w:hint="eastAsia"/>
                <w:b/>
                <w:szCs w:val="21"/>
              </w:rPr>
              <w:t>恒大养生谷：</w:t>
            </w:r>
            <w:r>
              <w:rPr>
                <w:rFonts w:ascii="宋体" w:eastAsia="宋体" w:hAnsi="宋体" w:cs="Times New Roman" w:hint="eastAsia"/>
                <w:szCs w:val="21"/>
              </w:rPr>
              <w:t>总投资200亿元，</w:t>
            </w:r>
            <w:r>
              <w:rPr>
                <w:rFonts w:ascii="宋体" w:eastAsia="宋体" w:hAnsi="宋体" w:cs="Times New Roman" w:hint="eastAsia"/>
                <w:bCs/>
                <w:szCs w:val="21"/>
              </w:rPr>
              <w:t>项目涵盖长乐园、康益园、颐养园、亲子园、运动中心、少年宫、中式温泉馆、恒和医院、养老院、风情商业街、美食街、酒吧街等内容。</w:t>
            </w:r>
          </w:p>
          <w:p w14:paraId="67292C59" w14:textId="77777777" w:rsidR="007C4A68" w:rsidRDefault="007C4A68" w:rsidP="007C4A68">
            <w:pPr>
              <w:adjustRightInd w:val="0"/>
              <w:snapToGrid w:val="0"/>
              <w:spacing w:line="360" w:lineRule="auto"/>
              <w:ind w:firstLineChars="200" w:firstLine="422"/>
              <w:rPr>
                <w:rFonts w:ascii="宋体" w:eastAsia="宋体" w:hAnsi="宋体" w:cs="Times New Roman"/>
                <w:bCs/>
                <w:szCs w:val="21"/>
              </w:rPr>
            </w:pPr>
            <w:r>
              <w:rPr>
                <w:rFonts w:ascii="宋体" w:eastAsia="宋体" w:hAnsi="宋体" w:cs="Times New Roman" w:hint="eastAsia"/>
                <w:b/>
                <w:szCs w:val="21"/>
              </w:rPr>
              <w:t>恒大温泉城：</w:t>
            </w:r>
            <w:r>
              <w:rPr>
                <w:rFonts w:ascii="宋体" w:eastAsia="宋体" w:hAnsi="宋体" w:cs="Times New Roman" w:hint="eastAsia"/>
                <w:szCs w:val="21"/>
              </w:rPr>
              <w:t>总投资150亿元，</w:t>
            </w:r>
            <w:r>
              <w:rPr>
                <w:rFonts w:ascii="宋体" w:eastAsia="宋体" w:hAnsi="宋体" w:cs="Times New Roman" w:hint="eastAsia"/>
                <w:bCs/>
                <w:szCs w:val="21"/>
              </w:rPr>
              <w:t>项目涵盖主题酒店、会议饮食中心、八国温泉、风情商业街、高端住宅等内容。</w:t>
            </w:r>
          </w:p>
          <w:p w14:paraId="31974C8B" w14:textId="77777777" w:rsidR="007C4A68" w:rsidRDefault="007C4A68" w:rsidP="007C4A68">
            <w:pPr>
              <w:adjustRightInd w:val="0"/>
              <w:snapToGrid w:val="0"/>
              <w:spacing w:line="360" w:lineRule="auto"/>
              <w:ind w:firstLineChars="200" w:firstLine="422"/>
              <w:rPr>
                <w:rFonts w:ascii="宋体" w:eastAsia="宋体" w:hAnsi="宋体"/>
              </w:rPr>
            </w:pPr>
            <w:r>
              <w:rPr>
                <w:rFonts w:ascii="宋体" w:eastAsia="宋体" w:hAnsi="宋体" w:hint="eastAsia"/>
                <w:b/>
              </w:rPr>
              <w:t>公主岭市中东铁路历史文化街区建设项目：</w:t>
            </w:r>
            <w:r>
              <w:rPr>
                <w:rFonts w:ascii="宋体" w:eastAsia="宋体" w:hAnsi="宋体" w:hint="eastAsia"/>
              </w:rPr>
              <w:t>总投资2.754亿元，建设中东铁路历史文化博物馆、具备高识别度的眺望塔、文化艺术活动中心、美食风情街、名人艺术家工作室集群等重点项目。</w:t>
            </w:r>
          </w:p>
          <w:p w14:paraId="14602DCA" w14:textId="77777777" w:rsidR="007C4A68" w:rsidRDefault="007C4A68" w:rsidP="007C4A68">
            <w:pPr>
              <w:adjustRightInd w:val="0"/>
              <w:snapToGrid w:val="0"/>
              <w:spacing w:line="360" w:lineRule="auto"/>
              <w:ind w:firstLineChars="200" w:firstLine="422"/>
              <w:rPr>
                <w:rFonts w:ascii="宋体" w:eastAsia="宋体" w:hAnsi="宋体" w:cs="Times New Roman"/>
                <w:b/>
                <w:szCs w:val="21"/>
              </w:rPr>
            </w:pPr>
            <w:r>
              <w:rPr>
                <w:rFonts w:ascii="宋体" w:eastAsia="宋体" w:hAnsi="宋体" w:cs="Times New Roman" w:hint="eastAsia"/>
                <w:b/>
                <w:szCs w:val="21"/>
              </w:rPr>
              <w:t>花满溪温泉建设项目：</w:t>
            </w:r>
            <w:r>
              <w:rPr>
                <w:rFonts w:ascii="宋体" w:eastAsia="宋体" w:hAnsi="宋体" w:cs="Times New Roman" w:hint="eastAsia"/>
                <w:szCs w:val="21"/>
              </w:rPr>
              <w:t>总投资120亿元，项目占地约</w:t>
            </w:r>
            <w:r>
              <w:rPr>
                <w:rFonts w:ascii="宋体" w:eastAsia="宋体" w:hAnsi="宋体" w:cs="Times New Roman"/>
                <w:szCs w:val="21"/>
              </w:rPr>
              <w:t>215公顷</w:t>
            </w:r>
            <w:r>
              <w:rPr>
                <w:rFonts w:ascii="宋体" w:eastAsia="宋体" w:hAnsi="宋体" w:cs="Times New Roman" w:hint="eastAsia"/>
                <w:szCs w:val="21"/>
              </w:rPr>
              <w:t>，主要建设</w:t>
            </w:r>
            <w:r>
              <w:rPr>
                <w:rFonts w:ascii="宋体" w:eastAsia="宋体" w:hAnsi="宋体" w:cs="Times New Roman"/>
                <w:szCs w:val="21"/>
              </w:rPr>
              <w:t>温泉入户地产区、医疗康养服务区、高端教育配套区、社区体育健身区和温泉体验区五大主题版块。</w:t>
            </w:r>
          </w:p>
          <w:p w14:paraId="48C96830" w14:textId="77777777" w:rsidR="007C4A68" w:rsidRDefault="007C4A68" w:rsidP="007C4A68">
            <w:pPr>
              <w:adjustRightInd w:val="0"/>
              <w:snapToGrid w:val="0"/>
              <w:spacing w:line="360" w:lineRule="auto"/>
              <w:ind w:firstLineChars="200" w:firstLine="422"/>
              <w:rPr>
                <w:rFonts w:ascii="宋体" w:eastAsia="宋体" w:hAnsi="宋体" w:cs="Times New Roman"/>
                <w:bCs/>
                <w:szCs w:val="21"/>
              </w:rPr>
            </w:pPr>
            <w:r>
              <w:rPr>
                <w:rFonts w:ascii="宋体" w:eastAsia="宋体" w:hAnsi="宋体" w:cs="Times New Roman" w:hint="eastAsia"/>
                <w:b/>
                <w:szCs w:val="21"/>
              </w:rPr>
              <w:t>大岭镇宝裕康养社区项目：</w:t>
            </w:r>
            <w:r>
              <w:rPr>
                <w:rFonts w:ascii="宋体" w:eastAsia="宋体" w:hAnsi="宋体" w:cs="Times New Roman" w:hint="eastAsia"/>
                <w:szCs w:val="21"/>
              </w:rPr>
              <w:t>总投资32亿元，</w:t>
            </w:r>
            <w:r>
              <w:rPr>
                <w:rFonts w:ascii="宋体" w:eastAsia="宋体" w:hAnsi="宋体" w:cs="Times New Roman" w:hint="eastAsia"/>
                <w:bCs/>
                <w:szCs w:val="21"/>
              </w:rPr>
              <w:t>建设内容为老年休养中心、公寓（医疗、体检、康复、体育馆等）、子女公寓、养生公寓与对应配套设施。</w:t>
            </w:r>
          </w:p>
          <w:p w14:paraId="71AED00D" w14:textId="77777777" w:rsidR="007C4A68" w:rsidRDefault="007C4A68" w:rsidP="007C4A68">
            <w:pPr>
              <w:adjustRightInd w:val="0"/>
              <w:snapToGrid w:val="0"/>
              <w:spacing w:line="360" w:lineRule="auto"/>
              <w:ind w:firstLineChars="200" w:firstLine="422"/>
              <w:rPr>
                <w:rFonts w:ascii="宋体" w:eastAsia="宋体" w:hAnsi="宋体"/>
                <w:b/>
                <w:szCs w:val="21"/>
              </w:rPr>
            </w:pPr>
            <w:r>
              <w:rPr>
                <w:rFonts w:ascii="宋体" w:eastAsia="宋体" w:hAnsi="宋体" w:hint="eastAsia"/>
                <w:b/>
                <w:szCs w:val="21"/>
              </w:rPr>
              <w:lastRenderedPageBreak/>
              <w:t>二十家子康养旅游小镇：</w:t>
            </w:r>
            <w:r>
              <w:rPr>
                <w:rFonts w:ascii="宋体" w:eastAsia="宋体" w:hAnsi="宋体" w:cs="仿宋_GB2312" w:hint="eastAsia"/>
                <w:szCs w:val="21"/>
              </w:rPr>
              <w:t>总投资14亿元，全力推进八大岭森林休闲公园、水库风景区、南山满族文化园、二十家子康养旅游、现代农业产业园这五大板块建设。</w:t>
            </w:r>
          </w:p>
          <w:p w14:paraId="5A708206" w14:textId="77777777" w:rsidR="007C4A68" w:rsidRDefault="007C4A68" w:rsidP="007C4A68">
            <w:pPr>
              <w:adjustRightInd w:val="0"/>
              <w:snapToGrid w:val="0"/>
              <w:spacing w:line="360" w:lineRule="auto"/>
              <w:ind w:firstLineChars="200" w:firstLine="422"/>
              <w:rPr>
                <w:rFonts w:ascii="宋体" w:eastAsia="宋体" w:hAnsi="宋体" w:cs="Times New Roman"/>
                <w:bCs/>
                <w:szCs w:val="21"/>
              </w:rPr>
            </w:pPr>
            <w:r>
              <w:rPr>
                <w:rFonts w:ascii="宋体" w:eastAsia="宋体" w:hAnsi="宋体" w:cs="Times New Roman" w:hint="eastAsia"/>
                <w:b/>
                <w:szCs w:val="21"/>
              </w:rPr>
              <w:t>龙山满族特色小镇：</w:t>
            </w:r>
            <w:r>
              <w:rPr>
                <w:rFonts w:ascii="宋体" w:eastAsia="宋体" w:hAnsi="宋体" w:cs="Times New Roman" w:hint="eastAsia"/>
                <w:szCs w:val="21"/>
              </w:rPr>
              <w:t>总投资15亿元，</w:t>
            </w:r>
            <w:r>
              <w:rPr>
                <w:rFonts w:ascii="宋体" w:eastAsia="宋体" w:hAnsi="宋体" w:cs="Times New Roman" w:hint="eastAsia"/>
                <w:bCs/>
                <w:szCs w:val="21"/>
              </w:rPr>
              <w:t>打造“满族文化、传说神话、风景如画”三化全域旅游项目，建设集旅游观光、休闲农业、康养等于一体的满族特色风情小镇。</w:t>
            </w:r>
          </w:p>
          <w:p w14:paraId="29391166" w14:textId="77777777" w:rsidR="009B2780" w:rsidRDefault="007C4A68" w:rsidP="009B2780">
            <w:pPr>
              <w:adjustRightInd w:val="0"/>
              <w:snapToGrid w:val="0"/>
              <w:spacing w:line="360" w:lineRule="auto"/>
              <w:ind w:firstLineChars="200" w:firstLine="422"/>
              <w:rPr>
                <w:rFonts w:ascii="宋体" w:eastAsia="宋体" w:hAnsi="宋体"/>
                <w:kern w:val="0"/>
                <w:szCs w:val="21"/>
              </w:rPr>
            </w:pPr>
            <w:r>
              <w:rPr>
                <w:rFonts w:ascii="宋体" w:eastAsia="宋体" w:hAnsi="宋体" w:hint="eastAsia"/>
                <w:b/>
                <w:kern w:val="0"/>
                <w:szCs w:val="21"/>
              </w:rPr>
              <w:t>乡村文旅产业项目：</w:t>
            </w:r>
            <w:r>
              <w:rPr>
                <w:rFonts w:ascii="宋体" w:eastAsia="宋体" w:hAnsi="宋体" w:hint="eastAsia"/>
                <w:kern w:val="0"/>
                <w:szCs w:val="21"/>
              </w:rPr>
              <w:t>总投资20亿元，主要</w:t>
            </w:r>
            <w:r>
              <w:rPr>
                <w:rFonts w:ascii="宋体" w:eastAsia="宋体" w:hAnsi="宋体" w:cs="宋体" w:hint="eastAsia"/>
                <w:bCs/>
                <w:kern w:val="0"/>
                <w:szCs w:val="21"/>
              </w:rPr>
              <w:t>推进</w:t>
            </w:r>
            <w:r>
              <w:rPr>
                <w:rFonts w:ascii="宋体" w:eastAsia="宋体" w:hAnsi="宋体" w:hint="eastAsia"/>
                <w:kern w:val="0"/>
                <w:szCs w:val="21"/>
              </w:rPr>
              <w:t>建设南山满族风情文化园、源卉发万亩生态玫瑰园、永发乡坤圣园民俗博物馆，谋划乡村冰雪游、乡村生态游、乡村民族风情游、乡村休闲观光游、乡村养生健康游等系列项目。</w:t>
            </w:r>
          </w:p>
          <w:p w14:paraId="0D5D3B24" w14:textId="77777777" w:rsidR="007C4A68" w:rsidRPr="009B2780" w:rsidRDefault="007C4A68" w:rsidP="009B2780">
            <w:pPr>
              <w:adjustRightInd w:val="0"/>
              <w:snapToGrid w:val="0"/>
              <w:spacing w:line="360" w:lineRule="auto"/>
              <w:ind w:firstLineChars="200" w:firstLine="422"/>
              <w:rPr>
                <w:rFonts w:ascii="宋体" w:eastAsia="宋体" w:hAnsi="宋体"/>
                <w:kern w:val="0"/>
                <w:szCs w:val="21"/>
              </w:rPr>
            </w:pPr>
            <w:r>
              <w:rPr>
                <w:rFonts w:ascii="宋体" w:eastAsia="宋体" w:hAnsi="宋体" w:hint="eastAsia"/>
                <w:b/>
              </w:rPr>
              <w:t>青怡坊国际花卉旅游文化产业园项目</w:t>
            </w:r>
            <w:r>
              <w:rPr>
                <w:rFonts w:ascii="黑体" w:eastAsia="黑体" w:hAnsi="黑体" w:hint="eastAsia"/>
              </w:rPr>
              <w:t>：</w:t>
            </w:r>
            <w:r>
              <w:rPr>
                <w:rFonts w:ascii="宋体" w:eastAsia="宋体" w:hAnsi="宋体" w:hint="eastAsia"/>
              </w:rPr>
              <w:t>总投资150亿元，项目占地约</w:t>
            </w:r>
            <w:r>
              <w:rPr>
                <w:rFonts w:ascii="宋体" w:eastAsia="宋体" w:hAnsi="宋体"/>
              </w:rPr>
              <w:t>370公顷，主要建设以花卉为主题的特色商业街、花卉产业交易区、高端社区和仓储及物流中心等。</w:t>
            </w:r>
          </w:p>
        </w:tc>
      </w:tr>
    </w:tbl>
    <w:p w14:paraId="7ABEC4F5"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29" w:name="_Toc25476"/>
      <w:bookmarkStart w:id="30" w:name="_Toc32674"/>
      <w:r w:rsidRPr="005717BE">
        <w:rPr>
          <w:rFonts w:ascii="楷体_GB2312" w:eastAsia="楷体_GB2312" w:hAnsi="楷体_GB2312" w:cs="楷体_GB2312" w:hint="eastAsia"/>
          <w:b/>
          <w:bCs/>
          <w:sz w:val="32"/>
          <w:szCs w:val="32"/>
        </w:rPr>
        <w:lastRenderedPageBreak/>
        <w:t>第六节 实施医药产业培育招引工程</w:t>
      </w:r>
      <w:bookmarkEnd w:id="29"/>
    </w:p>
    <w:p w14:paraId="0396EAE9"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紧抓长春市加快发展医药产业重大机遇，依托长春国家区域创新中心响水拓展区，加大招商引资力度，发展生物制药、化学医药和医疗器械制造，推进产业链向深加工、高附加价值方向发展，为长春医药产业发展提供空间和配套服务。到2025 年，力争全市规上医药企业达到25户，实现产值30亿元。</w:t>
      </w:r>
    </w:p>
    <w:p w14:paraId="4FBEA284" w14:textId="77777777" w:rsidR="00501569" w:rsidRDefault="00C74794">
      <w:pPr>
        <w:shd w:val="clear" w:color="auto" w:fill="FFFFFF"/>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培育发展新型疫苗与生物制药产业。</w:t>
      </w:r>
      <w:r>
        <w:rPr>
          <w:rFonts w:ascii="仿宋_GB2312" w:eastAsia="仿宋_GB2312" w:hAnsi="仿宋_GB2312" w:cs="仿宋_GB2312" w:hint="eastAsia"/>
          <w:sz w:val="32"/>
          <w:szCs w:val="32"/>
        </w:rPr>
        <w:t>补齐长春市生物制药产业链条，巩固和突出疫苗和基因药物优势，加快推进响水生物制药产业园建设，着力引进重大项目和重点企业，打造长春市生物医药企业的配套研发中心和产业化基地。提高疫苗领域疫苗产品的有效性、安全性与稳定性，推进鼻喷流感疫苗、HPV疫苗等新型二类疫苗产业化，开展多联多价疫苗、治疗性疫苗等新型疫苗产品研发。培育生物制药领域重组人生长素、重组人胸腺素α1等“拳头产品”，推进重组人</w:t>
      </w:r>
      <w:r>
        <w:rPr>
          <w:rFonts w:ascii="仿宋_GB2312" w:eastAsia="仿宋_GB2312" w:hAnsi="仿宋_GB2312" w:cs="仿宋_GB2312" w:hint="eastAsia"/>
          <w:sz w:val="32"/>
          <w:szCs w:val="32"/>
        </w:rPr>
        <w:lastRenderedPageBreak/>
        <w:t>白细胞介素11、重组人甲状旁腺素、重组人载脂蛋白E3等新产品产业化，大力发展重组蛋白药物、单克隆抗体药物、多肽药物等。引导企业积极承担国家重大科技项目，加快布局药品制剂生产线，争建生物制药领域国家技术创新中心。</w:t>
      </w:r>
    </w:p>
    <w:p w14:paraId="5F6D92CB" w14:textId="77777777" w:rsidR="00501569" w:rsidRDefault="00C74794">
      <w:pPr>
        <w:shd w:val="clear" w:color="auto" w:fill="FFFFFF"/>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全力推进化学药产业技术创新。</w:t>
      </w:r>
      <w:r>
        <w:rPr>
          <w:rFonts w:ascii="仿宋_GB2312" w:eastAsia="仿宋_GB2312" w:hAnsi="仿宋_GB2312" w:cs="仿宋_GB2312" w:hint="eastAsia"/>
          <w:sz w:val="32"/>
          <w:szCs w:val="32"/>
        </w:rPr>
        <w:t>坚持以仿制带创新、以制剂带原料发展，提高化学药生产技术与核心技术升级。重点以玉米等吉林省特色资源为基础，采用生物技术方法，开发医药中间体产品，发展低污染、低能耗和高附加值的绿色原料药。推进玉米生物基等医药中间体产品向阿莫西林、头孢等终端制剂产品转变，推进咖啡因、阿司匹林等中间体产品优化工艺，扩大生产规模，增加出口。加强国外专利到期药物的抢仿、非专利药物的仿制与开发研究，加快琥珀八氢氨吖啶、西洋参皂苷注射液等自主研发化学创新药物的开发，强化天然产物化学药的研究与开发。开展新型制剂研发与开发，推进缓释、靶向、长效等新型制剂研发和关键工艺技术产业化。鼓励开展化学药新药研发过程中的药物分析、药物筛选、实验室开发小试中试等研发外包服务。</w:t>
      </w:r>
    </w:p>
    <w:p w14:paraId="09A564B8" w14:textId="77777777" w:rsidR="00501569" w:rsidRDefault="00C74794">
      <w:pPr>
        <w:shd w:val="clear" w:color="auto" w:fill="FFFFFF"/>
        <w:ind w:firstLineChars="200" w:firstLine="643"/>
      </w:pPr>
      <w:r>
        <w:rPr>
          <w:rFonts w:ascii="仿宋_GB2312" w:eastAsia="仿宋_GB2312" w:hAnsi="仿宋_GB2312" w:cs="仿宋_GB2312" w:hint="eastAsia"/>
          <w:b/>
          <w:bCs/>
          <w:sz w:val="32"/>
          <w:szCs w:val="32"/>
        </w:rPr>
        <w:t>培育壮大精密医疗器械及医用材料产业。</w:t>
      </w:r>
      <w:r>
        <w:rPr>
          <w:rFonts w:ascii="仿宋_GB2312" w:eastAsia="仿宋_GB2312" w:hAnsi="仿宋_GB2312" w:cs="仿宋_GB2312" w:hint="eastAsia"/>
          <w:sz w:val="32"/>
          <w:szCs w:val="32"/>
        </w:rPr>
        <w:t>着力突破一批关键核心技术，推动医疗器械领域高端化规模化发展。围绕体外诊断设备领域，培育发展即时检测POCT系统、新型分子诊断系统等高端诊断设备。围绕先进诊疗设备领域，把握医</w:t>
      </w:r>
      <w:r>
        <w:rPr>
          <w:rFonts w:ascii="仿宋_GB2312" w:eastAsia="仿宋_GB2312" w:hAnsi="仿宋_GB2312" w:cs="仿宋_GB2312" w:hint="eastAsia"/>
          <w:sz w:val="32"/>
          <w:szCs w:val="32"/>
        </w:rPr>
        <w:lastRenderedPageBreak/>
        <w:t>疗技术和智能技术融合发展的趋势，发展智能外科辅助设备、数字医学影像系统等高性能治疗设备。围绕生物医用材料领域，重点发展可吸收接骨螺钉、全降解血管支架、人造骨骼等组织修复材料，以及新型医用抗菌材料，推动中科院长春应化所在医用高分子材料领域的创新成果落地转化。围绕家用康健器材领域，重点发展康复治疗、辅助护理等家用健康器材，培育发展智能化、可穿戴的健康监测设备。</w:t>
      </w:r>
    </w:p>
    <w:p w14:paraId="29159AB2" w14:textId="77777777" w:rsidR="00501569" w:rsidRDefault="00C74794" w:rsidP="0045498C">
      <w:pPr>
        <w:spacing w:beforeLines="50" w:before="156" w:afterLines="50" w:after="156"/>
        <w:jc w:val="center"/>
        <w:outlineLvl w:val="0"/>
        <w:rPr>
          <w:rFonts w:ascii="黑体" w:eastAsia="黑体" w:hAnsi="黑体" w:cs="黑体"/>
          <w:bCs/>
          <w:sz w:val="32"/>
          <w:szCs w:val="32"/>
        </w:rPr>
      </w:pPr>
      <w:bookmarkStart w:id="31" w:name="_Toc12210"/>
      <w:r>
        <w:rPr>
          <w:rFonts w:ascii="黑体" w:eastAsia="黑体" w:hAnsi="黑体" w:cs="黑体" w:hint="eastAsia"/>
          <w:bCs/>
          <w:sz w:val="32"/>
          <w:szCs w:val="32"/>
        </w:rPr>
        <w:t>第四章 加快服务业转型提质，培育服务经济新动能</w:t>
      </w:r>
      <w:bookmarkEnd w:id="31"/>
    </w:p>
    <w:p w14:paraId="3CDC6CD1"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提升产业配套服务能力和强化产城融合发展为核心，构筑与长春现代化都市圈相适应的“广就业、增税收、大品牌、强辐射”的现代服务业体系，重点发展高品金融、高端商务、高效环保、高质教育、高雅医养和文旅康养产业，打造服务业三大集聚区，提升城市服务能级和核心竞争力。</w:t>
      </w:r>
    </w:p>
    <w:p w14:paraId="6F4752B5"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32" w:name="_Toc15571"/>
      <w:r w:rsidRPr="005717BE">
        <w:rPr>
          <w:rFonts w:ascii="楷体_GB2312" w:eastAsia="楷体_GB2312" w:hAnsi="楷体_GB2312" w:cs="楷体_GB2312" w:hint="eastAsia"/>
          <w:b/>
          <w:bCs/>
          <w:sz w:val="32"/>
          <w:szCs w:val="32"/>
        </w:rPr>
        <w:t>第一节 推动生产性服务业向价值链高端延伸</w:t>
      </w:r>
      <w:bookmarkEnd w:id="32"/>
    </w:p>
    <w:p w14:paraId="1E3CE038"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满足制造业高质量发展要求，以适应新型工业化和信息化发展需求为导向，推动先进制造业与现代服务业深度融合，重点发展金融、节能环保、商务会展等生产性服务业，促进产业逐步由生产制造型向生产服务型转变，创造服务业发展新空间。</w:t>
      </w:r>
    </w:p>
    <w:p w14:paraId="20727E91"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金融业。</w:t>
      </w:r>
      <w:r>
        <w:rPr>
          <w:rFonts w:ascii="仿宋_GB2312" w:eastAsia="仿宋_GB2312" w:hAnsi="仿宋_GB2312" w:cs="仿宋_GB2312" w:hint="eastAsia"/>
          <w:bCs/>
          <w:sz w:val="32"/>
          <w:szCs w:val="32"/>
        </w:rPr>
        <w:t>围绕</w:t>
      </w:r>
      <w:r>
        <w:rPr>
          <w:rFonts w:ascii="仿宋_GB2312" w:eastAsia="仿宋_GB2312" w:hAnsi="仿宋_GB2312" w:cs="仿宋_GB2312" w:hint="eastAsia"/>
          <w:sz w:val="32"/>
          <w:szCs w:val="32"/>
        </w:rPr>
        <w:t>长春区域性金融中心建设，推进金融机构区域总部和分支机构在环长经济带内布局。依托岭西服务业</w:t>
      </w:r>
      <w:r>
        <w:rPr>
          <w:rFonts w:ascii="仿宋_GB2312" w:eastAsia="仿宋_GB2312" w:hAnsi="仿宋_GB2312" w:cs="仿宋_GB2312" w:hint="eastAsia"/>
          <w:sz w:val="32"/>
          <w:szCs w:val="32"/>
        </w:rPr>
        <w:lastRenderedPageBreak/>
        <w:t>集聚区，加快建设岭西金融商务办公核心区，重点打造岭西新城“金融街”，促进公主岭市已有各类金融机构集聚发展。鼓励具备条件的民间资本依法合规发起设立中小型银行等金融机构，合作发展普惠金融，加强对战略新兴产业发展方向的中小微企业提供金融服务。规范</w:t>
      </w:r>
      <w:r>
        <w:rPr>
          <w:rFonts w:ascii="仿宋_GB2312" w:eastAsia="仿宋_GB2312" w:hAnsi="仿宋_GB2312" w:cs="仿宋_GB2312"/>
          <w:sz w:val="32"/>
          <w:szCs w:val="32"/>
        </w:rPr>
        <w:t>发展互联网金融，培育和引入</w:t>
      </w:r>
      <w:r>
        <w:rPr>
          <w:rFonts w:ascii="仿宋_GB2312" w:eastAsia="仿宋_GB2312" w:hAnsi="仿宋_GB2312" w:cs="仿宋_GB2312" w:hint="eastAsia"/>
          <w:sz w:val="32"/>
          <w:szCs w:val="32"/>
        </w:rPr>
        <w:t>互联网</w:t>
      </w:r>
      <w:r>
        <w:rPr>
          <w:rFonts w:ascii="仿宋_GB2312" w:eastAsia="仿宋_GB2312" w:hAnsi="仿宋_GB2312" w:cs="仿宋_GB2312"/>
          <w:sz w:val="32"/>
          <w:szCs w:val="32"/>
        </w:rPr>
        <w:t>第三方支付机构、金融</w:t>
      </w:r>
      <w:r>
        <w:rPr>
          <w:rFonts w:ascii="仿宋_GB2312" w:eastAsia="仿宋_GB2312" w:hAnsi="仿宋_GB2312" w:cs="仿宋_GB2312" w:hint="eastAsia"/>
          <w:sz w:val="32"/>
          <w:szCs w:val="32"/>
        </w:rPr>
        <w:t>电商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众筹融资、互联网</w:t>
      </w:r>
      <w:r>
        <w:rPr>
          <w:rFonts w:ascii="仿宋_GB2312" w:eastAsia="仿宋_GB2312" w:hAnsi="仿宋_GB2312" w:cs="仿宋_GB2312"/>
          <w:sz w:val="32"/>
          <w:szCs w:val="32"/>
        </w:rPr>
        <w:t>金融门户等金融机构。</w:t>
      </w:r>
    </w:p>
    <w:p w14:paraId="636E3952"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节能环保</w:t>
      </w:r>
      <w:r>
        <w:rPr>
          <w:rFonts w:ascii="仿宋_GB2312" w:eastAsia="仿宋_GB2312" w:hAnsi="仿宋_GB2312" w:cs="仿宋_GB2312"/>
          <w:b/>
          <w:sz w:val="32"/>
          <w:szCs w:val="32"/>
        </w:rPr>
        <w:t>产业</w:t>
      </w:r>
      <w:r>
        <w:rPr>
          <w:rFonts w:ascii="仿宋_GB2312" w:eastAsia="仿宋_GB2312" w:hAnsi="仿宋_GB2312" w:cs="仿宋_GB2312" w:hint="eastAsia"/>
          <w:b/>
          <w:sz w:val="32"/>
          <w:szCs w:val="32"/>
        </w:rPr>
        <w:t>。</w:t>
      </w:r>
      <w:r>
        <w:rPr>
          <w:rFonts w:ascii="仿宋_GB2312" w:eastAsia="仿宋_GB2312" w:hAnsi="仿宋_GB2312" w:cs="仿宋_GB2312" w:hint="eastAsia"/>
          <w:sz w:val="32"/>
          <w:szCs w:val="32"/>
        </w:rPr>
        <w:t>积极</w:t>
      </w:r>
      <w:r>
        <w:rPr>
          <w:rFonts w:ascii="仿宋_GB2312" w:eastAsia="仿宋_GB2312" w:hAnsi="仿宋_GB2312" w:cs="仿宋_GB2312"/>
          <w:sz w:val="32"/>
          <w:szCs w:val="32"/>
        </w:rPr>
        <w:t>发展</w:t>
      </w:r>
      <w:r>
        <w:rPr>
          <w:rFonts w:ascii="仿宋_GB2312" w:eastAsia="仿宋_GB2312" w:hAnsi="仿宋_GB2312" w:cs="仿宋_GB2312" w:hint="eastAsia"/>
          <w:sz w:val="32"/>
          <w:szCs w:val="32"/>
        </w:rPr>
        <w:t>循环经济，以国家农高区和省级园区为重点,重点建设一批节能环保和循环产业示范园区。推进食品加工、装备制造等产业核心产品生态设计，实施绿色制造和清洁生产，开展合同能源管理。在节能领域，扩大高效照明产品、节能空调、节能电机、节能热水器、节能汽车等节能产品应用。在环保领域，推广烟气脱硫脱硝、高浓度有机废水处理、高危固体废弃物处置、汽车尾气污染控制、环保燃烧器制造等一批具有自主知识产权的先进环保技术、装备和产品。在资源循环利用领域，培育发展秸秆全量化和综合循环利用产业，建立秸秆综合利用产业化示范基地。</w:t>
      </w:r>
    </w:p>
    <w:p w14:paraId="1699E4EB"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商务会展业。</w:t>
      </w:r>
      <w:r>
        <w:rPr>
          <w:rFonts w:ascii="仿宋_GB2312" w:eastAsia="仿宋_GB2312" w:hAnsi="仿宋_GB2312" w:cs="仿宋_GB2312" w:hint="eastAsia"/>
          <w:sz w:val="32"/>
          <w:szCs w:val="32"/>
        </w:rPr>
        <w:t>打造区域性商务咨询服务中心，大力引进商务咨询服务企业，加强与公主岭战略定位相匹配的优质国际机构、品牌和项目落地，</w:t>
      </w:r>
      <w:r>
        <w:rPr>
          <w:rFonts w:ascii="仿宋_GB2312" w:eastAsia="仿宋_GB2312" w:hAnsi="仿宋_GB2312" w:cs="仿宋_GB2312"/>
          <w:sz w:val="32"/>
          <w:szCs w:val="32"/>
        </w:rPr>
        <w:t>促进</w:t>
      </w:r>
      <w:r>
        <w:rPr>
          <w:rFonts w:ascii="仿宋_GB2312" w:eastAsia="仿宋_GB2312" w:hAnsi="仿宋_GB2312" w:cs="仿宋_GB2312" w:hint="eastAsia"/>
          <w:sz w:val="32"/>
          <w:szCs w:val="32"/>
        </w:rPr>
        <w:t>企业总部管理、会计审计、税务服务、法律服务、工程咨询服务、人力资源和会议展览等行业发展，完善高端商务咨询服务体系。加快建设区域性</w:t>
      </w:r>
      <w:r>
        <w:rPr>
          <w:rFonts w:ascii="仿宋_GB2312" w:eastAsia="仿宋_GB2312" w:hAnsi="仿宋_GB2312" w:cs="仿宋_GB2312" w:hint="eastAsia"/>
          <w:sz w:val="32"/>
          <w:szCs w:val="32"/>
        </w:rPr>
        <w:lastRenderedPageBreak/>
        <w:t>会展中心，推动建设恒大温泉城会议中心、恒大水世界国际会展中心和红旗小镇汽车展览平台，组织</w:t>
      </w:r>
      <w:r>
        <w:rPr>
          <w:rFonts w:ascii="仿宋_GB2312" w:eastAsia="仿宋_GB2312" w:hAnsi="仿宋_GB2312" w:cs="仿宋_GB2312"/>
          <w:sz w:val="32"/>
          <w:szCs w:val="32"/>
        </w:rPr>
        <w:t>举办</w:t>
      </w:r>
      <w:r>
        <w:rPr>
          <w:rFonts w:ascii="仿宋_GB2312" w:eastAsia="仿宋_GB2312" w:hAnsi="仿宋_GB2312" w:cs="仿宋_GB2312" w:hint="eastAsia"/>
          <w:sz w:val="32"/>
          <w:szCs w:val="32"/>
        </w:rPr>
        <w:t>玉米、种子等具有全国影响力的主题</w:t>
      </w:r>
      <w:r>
        <w:rPr>
          <w:rFonts w:ascii="仿宋_GB2312" w:eastAsia="仿宋_GB2312" w:hAnsi="仿宋_GB2312" w:cs="仿宋_GB2312"/>
          <w:sz w:val="32"/>
          <w:szCs w:val="32"/>
        </w:rPr>
        <w:t>博览会，</w:t>
      </w:r>
      <w:r>
        <w:rPr>
          <w:rFonts w:ascii="仿宋_GB2312" w:eastAsia="仿宋_GB2312" w:hAnsi="仿宋_GB2312" w:cs="仿宋_GB2312" w:hint="eastAsia"/>
          <w:sz w:val="32"/>
          <w:szCs w:val="32"/>
        </w:rPr>
        <w:t>参与举办承办</w:t>
      </w:r>
      <w:r>
        <w:rPr>
          <w:rFonts w:ascii="仿宋_GB2312" w:eastAsia="仿宋_GB2312" w:hAnsi="仿宋_GB2312" w:cs="仿宋_GB2312"/>
          <w:sz w:val="32"/>
          <w:szCs w:val="32"/>
        </w:rPr>
        <w:t>长春市</w:t>
      </w:r>
      <w:r>
        <w:rPr>
          <w:rFonts w:ascii="仿宋_GB2312" w:eastAsia="仿宋_GB2312" w:hAnsi="仿宋_GB2312" w:cs="仿宋_GB2312" w:hint="eastAsia"/>
          <w:sz w:val="32"/>
          <w:szCs w:val="32"/>
        </w:rPr>
        <w:t>“东博会”“汽博会”“农博会”等展会平台分中心分会场和相关活动，培育一批知名会展品牌。</w:t>
      </w:r>
    </w:p>
    <w:p w14:paraId="28EFD4F4"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33" w:name="_Toc15392"/>
      <w:r w:rsidRPr="005717BE">
        <w:rPr>
          <w:rFonts w:ascii="楷体_GB2312" w:eastAsia="楷体_GB2312" w:hAnsi="楷体_GB2312" w:cs="楷体_GB2312" w:hint="eastAsia"/>
          <w:b/>
          <w:bCs/>
          <w:sz w:val="32"/>
          <w:szCs w:val="32"/>
        </w:rPr>
        <w:t>第二节 推进生活性服务业高质化发展</w:t>
      </w:r>
      <w:bookmarkEnd w:id="33"/>
    </w:p>
    <w:p w14:paraId="13C9565B"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顺应消费升级和扩大内需趋势，满足人民群众日益提升的生活品质需求，加快服务业服务内容、业态和商业模式创新，改善提升商贸流通、教育培训、医疗养老、房地产等生活性服务业，丰富服务供给，完善服务标准，提高服务水平。</w:t>
      </w:r>
    </w:p>
    <w:p w14:paraId="2E02A000"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商贸流通业。</w:t>
      </w:r>
      <w:r>
        <w:rPr>
          <w:rFonts w:ascii="仿宋_GB2312" w:eastAsia="仿宋_GB2312" w:hAnsi="仿宋_GB2312" w:cs="仿宋_GB2312" w:hint="eastAsia"/>
          <w:sz w:val="32"/>
          <w:szCs w:val="32"/>
        </w:rPr>
        <w:t>完善提升岭西区域华生商业综合体、荣超金街和中心城区温州商城、华生百货、浙江装饰家居城等商贸服务功能，提质改造一批核心商圈和特色街区。围绕岭东、铁北、高铁站等区域，谋划建设商业综合体、商贸广场等综合性商贸设施，丰富区域商贸服务业态。以地铁规划建设和开通运营为契机，借鉴国内地下品牌广场开发经验，规划好业态组合，谋划发展地铁经济。</w:t>
      </w:r>
    </w:p>
    <w:p w14:paraId="35C0E9A8"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教育培训业。</w:t>
      </w:r>
      <w:r>
        <w:rPr>
          <w:rFonts w:ascii="仿宋_GB2312" w:eastAsia="仿宋_GB2312" w:hAnsi="仿宋_GB2312" w:cs="仿宋_GB2312" w:hint="eastAsia"/>
          <w:sz w:val="32"/>
          <w:szCs w:val="32"/>
        </w:rPr>
        <w:t>以社会化、专业化为方向，鼓励社会力量办学，构建多层次、多元化教育培训体系。利用现有教育培训基础优势，争取省内外各类院校办学增量向公主岭布局，</w:t>
      </w:r>
      <w:r>
        <w:rPr>
          <w:rFonts w:ascii="仿宋_GB2312" w:eastAsia="仿宋_GB2312" w:hAnsi="仿宋_GB2312" w:cs="仿宋_GB2312"/>
          <w:sz w:val="32"/>
          <w:szCs w:val="32"/>
        </w:rPr>
        <w:t>推动教育教学改革与产业转型升级衔接配套</w:t>
      </w:r>
      <w:r>
        <w:rPr>
          <w:rFonts w:ascii="仿宋_GB2312" w:eastAsia="仿宋_GB2312" w:hAnsi="仿宋_GB2312" w:cs="仿宋_GB2312" w:hint="eastAsia"/>
          <w:sz w:val="32"/>
          <w:szCs w:val="32"/>
        </w:rPr>
        <w:t>，打造高质量的专业技术、技能人才和</w:t>
      </w:r>
      <w:r>
        <w:rPr>
          <w:rFonts w:ascii="仿宋_GB2312" w:eastAsia="仿宋_GB2312" w:hAnsi="仿宋_GB2312" w:cs="仿宋_GB2312"/>
          <w:sz w:val="32"/>
          <w:szCs w:val="32"/>
        </w:rPr>
        <w:t>服务业从业人员</w:t>
      </w:r>
      <w:r>
        <w:rPr>
          <w:rFonts w:ascii="仿宋_GB2312" w:eastAsia="仿宋_GB2312" w:hAnsi="仿宋_GB2312" w:cs="仿宋_GB2312" w:hint="eastAsia"/>
          <w:sz w:val="32"/>
          <w:szCs w:val="32"/>
        </w:rPr>
        <w:t>培养基地。优化范家</w:t>
      </w:r>
      <w:r>
        <w:rPr>
          <w:rFonts w:ascii="仿宋_GB2312" w:eastAsia="仿宋_GB2312" w:hAnsi="仿宋_GB2312" w:cs="仿宋_GB2312" w:hint="eastAsia"/>
          <w:sz w:val="32"/>
          <w:szCs w:val="32"/>
        </w:rPr>
        <w:lastRenderedPageBreak/>
        <w:t>屯镇和经济开发区资源配置，吸引优秀高职院校入驻，大力发展职业教育，开办精品专业，建设职工社区、实践基地等配套设施，满足学生、教师、工人生产生活需要，形成“产教融合、产教并举、以教促产、以产养教”的良性循环，提高产学研整体能力，全力打造汽车零部件产教融合示范区。探索建立教育资源共享联通机制，加强长春、</w:t>
      </w:r>
      <w:r>
        <w:rPr>
          <w:rFonts w:ascii="仿宋_GB2312" w:eastAsia="仿宋_GB2312" w:hAnsi="仿宋_GB2312" w:cs="仿宋_GB2312"/>
          <w:sz w:val="32"/>
          <w:szCs w:val="32"/>
        </w:rPr>
        <w:t>公主岭两市</w:t>
      </w:r>
      <w:r>
        <w:rPr>
          <w:rFonts w:ascii="仿宋_GB2312" w:eastAsia="仿宋_GB2312" w:hAnsi="仿宋_GB2312" w:cs="仿宋_GB2312" w:hint="eastAsia"/>
          <w:sz w:val="32"/>
          <w:szCs w:val="32"/>
        </w:rPr>
        <w:t>间基础教育、高等教育、职业教育、爱国主义教育协同合作，支持发展合作办学模式。</w:t>
      </w:r>
    </w:p>
    <w:p w14:paraId="44D09AB6"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医疗养老业。</w:t>
      </w:r>
      <w:r>
        <w:rPr>
          <w:rFonts w:ascii="仿宋_GB2312" w:eastAsia="仿宋_GB2312" w:hAnsi="仿宋_GB2312" w:cs="仿宋_GB2312" w:hint="eastAsia"/>
          <w:sz w:val="32"/>
          <w:szCs w:val="32"/>
        </w:rPr>
        <w:t>坚持医养结合、医药结合，承接优质医疗卫生服务功能转移，吸引域外知名医院设立分院或共建特色专科、医养结合服务综合体、医药结合生产综合体，构建覆盖城乡、规模适宜、功能合理、综合连续的医养结合服务网络。引导社会资本投资兴建老年护理院、康复医院等医疗机构，加快推动范家屯镇阳光西宸和悦医养、宇辉幸福医疗康养等项目建设，促进医养结合融合发展。推动医疗机构与养老机构协作共建，引导和鼓励符合条件的医院、传统养护型养老院向以康复医疗服务为特色的医护型养老机构转型，促进医疗卫生资源进入养老机构、社区和居民家庭，打造面向全国、设施一流、管理规范、服务高端的现代医疗养老产业。</w:t>
      </w:r>
    </w:p>
    <w:p w14:paraId="11CC194D"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房地产业。</w:t>
      </w:r>
      <w:r>
        <w:rPr>
          <w:rFonts w:ascii="仿宋_GB2312" w:eastAsia="仿宋_GB2312" w:hAnsi="仿宋_GB2312" w:cs="仿宋_GB2312" w:hint="eastAsia"/>
          <w:sz w:val="32"/>
          <w:szCs w:val="32"/>
        </w:rPr>
        <w:t>优化商品住房供给结构,加快保障性安居工程建设,构建以政府为主提供基本保障、以市场为主满足多层次需求的住房供应体系。拓展房地产开发模式，引导开发</w:t>
      </w:r>
      <w:r>
        <w:rPr>
          <w:rFonts w:ascii="仿宋_GB2312" w:eastAsia="仿宋_GB2312" w:hAnsi="仿宋_GB2312" w:cs="仿宋_GB2312" w:hint="eastAsia"/>
          <w:sz w:val="32"/>
          <w:szCs w:val="32"/>
        </w:rPr>
        <w:lastRenderedPageBreak/>
        <w:t>养老、旅游、文化等地产新业态，丰富产品供应，满足不同群体住房需求。繁荣二手房交易市场，调整租赁市场管理模式，逐步形成供需基本平衡、结构逐步优化、价格相对稳定的房地产市场。大力发展房地产服务业，完善物业服务功能，引导物业企业利用“互联网+”实现物业服务转型升级。</w:t>
      </w:r>
    </w:p>
    <w:p w14:paraId="5DF36900"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34" w:name="_Toc5918"/>
      <w:r w:rsidRPr="005717BE">
        <w:rPr>
          <w:rFonts w:ascii="楷体_GB2312" w:eastAsia="楷体_GB2312" w:hAnsi="楷体_GB2312" w:cs="楷体_GB2312" w:hint="eastAsia"/>
          <w:b/>
          <w:bCs/>
          <w:sz w:val="32"/>
          <w:szCs w:val="32"/>
        </w:rPr>
        <w:t>第三节 推进服务业集聚发展</w:t>
      </w:r>
      <w:bookmarkEnd w:id="34"/>
    </w:p>
    <w:p w14:paraId="5E101085" w14:textId="77777777" w:rsidR="00501569" w:rsidRDefault="00C74794">
      <w:pPr>
        <w:autoSpaceDE w:val="0"/>
        <w:autoSpaceDN w:val="0"/>
        <w:ind w:firstLineChars="200" w:firstLine="640"/>
        <w:rPr>
          <w:rFonts w:ascii="仿宋_GB2312" w:eastAsia="仿宋_GB2312" w:hAnsi="仿宋_GB2312" w:cs="仿宋_GB2312"/>
          <w:b/>
          <w:color w:val="000000"/>
          <w:sz w:val="32"/>
          <w:szCs w:val="32"/>
        </w:rPr>
      </w:pPr>
      <w:r>
        <w:rPr>
          <w:rFonts w:ascii="仿宋_GB2312" w:eastAsia="仿宋_GB2312" w:hAnsi="仿宋_GB2312" w:cs="仿宋_GB2312" w:hint="eastAsia"/>
          <w:color w:val="000000"/>
          <w:sz w:val="32"/>
          <w:szCs w:val="32"/>
        </w:rPr>
        <w:t>承担长春</w:t>
      </w:r>
      <w:r>
        <w:rPr>
          <w:rFonts w:ascii="仿宋_GB2312" w:eastAsia="仿宋_GB2312" w:hAnsi="仿宋_GB2312" w:cs="仿宋_GB2312"/>
          <w:color w:val="000000"/>
          <w:sz w:val="32"/>
          <w:szCs w:val="32"/>
        </w:rPr>
        <w:t>现代化都市圈</w:t>
      </w:r>
      <w:r>
        <w:rPr>
          <w:rFonts w:ascii="仿宋_GB2312" w:eastAsia="仿宋_GB2312" w:hAnsi="仿宋_GB2312" w:cs="仿宋_GB2312" w:hint="eastAsia"/>
          <w:color w:val="000000"/>
          <w:sz w:val="32"/>
          <w:szCs w:val="32"/>
        </w:rPr>
        <w:t>服务业转移和集聚功能，高水平建设大岭、范家屯、岭西新城三大</w:t>
      </w:r>
      <w:r>
        <w:rPr>
          <w:rFonts w:ascii="仿宋_GB2312" w:eastAsia="仿宋_GB2312" w:hAnsi="仿宋_GB2312" w:cs="仿宋_GB2312"/>
          <w:color w:val="000000"/>
          <w:sz w:val="32"/>
          <w:szCs w:val="32"/>
        </w:rPr>
        <w:t>服务业集聚区</w:t>
      </w:r>
      <w:r>
        <w:rPr>
          <w:rFonts w:ascii="仿宋_GB2312" w:eastAsia="仿宋_GB2312" w:hAnsi="仿宋_GB2312" w:cs="仿宋_GB2312" w:hint="eastAsia"/>
          <w:color w:val="000000"/>
          <w:sz w:val="32"/>
          <w:szCs w:val="32"/>
        </w:rPr>
        <w:t>，带动现代服务业向集聚化、高端化方向发展。</w:t>
      </w:r>
    </w:p>
    <w:p w14:paraId="2956B142" w14:textId="77777777" w:rsidR="00501569" w:rsidRDefault="00C74794">
      <w:pPr>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大岭服务业集聚区。</w:t>
      </w:r>
      <w:r>
        <w:rPr>
          <w:rFonts w:ascii="仿宋_GB2312" w:eastAsia="仿宋_GB2312" w:hAnsi="仿宋_GB2312" w:cs="仿宋_GB2312" w:hint="eastAsia"/>
          <w:bCs/>
          <w:sz w:val="32"/>
          <w:szCs w:val="32"/>
        </w:rPr>
        <w:t>依托“一汽”产业基础，发展汽车物流、仓储物流、商贸物流、物流地产，推进建设金融结算平台。</w:t>
      </w:r>
      <w:r>
        <w:rPr>
          <w:rFonts w:ascii="仿宋_GB2312" w:eastAsia="仿宋_GB2312" w:hAnsi="仿宋_GB2312" w:cs="仿宋_GB2312" w:hint="eastAsia"/>
          <w:bCs/>
          <w:color w:val="000000"/>
          <w:sz w:val="32"/>
          <w:szCs w:val="32"/>
        </w:rPr>
        <w:t>着力打造全国知名的以汽车配套产业为主题的特色服务业小镇，</w:t>
      </w:r>
      <w:r>
        <w:rPr>
          <w:rFonts w:ascii="仿宋_GB2312" w:eastAsia="仿宋_GB2312" w:hAnsi="仿宋_GB2312" w:cs="仿宋_GB2312" w:hint="eastAsia"/>
          <w:bCs/>
          <w:sz w:val="32"/>
          <w:szCs w:val="32"/>
        </w:rPr>
        <w:t>围绕承接长春产业转移人口，建设大型商贸项目，引进大型、医院等服务设施，提升文化旅游、智能研发、金融商贸、会展</w:t>
      </w:r>
      <w:r>
        <w:rPr>
          <w:rFonts w:ascii="仿宋_GB2312" w:eastAsia="仿宋_GB2312" w:hAnsi="仿宋_GB2312" w:cs="仿宋_GB2312"/>
          <w:bCs/>
          <w:sz w:val="32"/>
          <w:szCs w:val="32"/>
        </w:rPr>
        <w:t>经济、</w:t>
      </w:r>
      <w:r>
        <w:rPr>
          <w:rFonts w:ascii="仿宋_GB2312" w:eastAsia="仿宋_GB2312" w:hAnsi="仿宋_GB2312" w:cs="仿宋_GB2312" w:hint="eastAsia"/>
          <w:bCs/>
          <w:sz w:val="32"/>
          <w:szCs w:val="32"/>
        </w:rPr>
        <w:t>康养居住等高端生产生活配套功能，</w:t>
      </w:r>
      <w:r>
        <w:rPr>
          <w:rFonts w:ascii="仿宋_GB2312" w:eastAsia="仿宋_GB2312" w:hAnsi="仿宋_GB2312" w:cs="仿宋_GB2312"/>
          <w:bCs/>
          <w:sz w:val="32"/>
          <w:szCs w:val="32"/>
        </w:rPr>
        <w:t>建设长春西部新城</w:t>
      </w:r>
      <w:r>
        <w:rPr>
          <w:rFonts w:ascii="仿宋_GB2312" w:eastAsia="仿宋_GB2312" w:hAnsi="仿宋_GB2312" w:cs="仿宋_GB2312" w:hint="eastAsia"/>
          <w:bCs/>
          <w:sz w:val="32"/>
          <w:szCs w:val="32"/>
        </w:rPr>
        <w:t>。</w:t>
      </w:r>
    </w:p>
    <w:p w14:paraId="7DDAFCE0" w14:textId="77777777" w:rsidR="00501569" w:rsidRDefault="00C74794">
      <w:pPr>
        <w:autoSpaceDE w:val="0"/>
        <w:autoSpaceDN w:val="0"/>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范家屯</w:t>
      </w:r>
      <w:r>
        <w:rPr>
          <w:rFonts w:ascii="仿宋_GB2312" w:eastAsia="仿宋_GB2312" w:hAnsi="仿宋_GB2312" w:cs="仿宋_GB2312"/>
          <w:b/>
          <w:sz w:val="32"/>
          <w:szCs w:val="32"/>
        </w:rPr>
        <w:t>服务业集聚区。</w:t>
      </w:r>
      <w:r>
        <w:rPr>
          <w:rFonts w:ascii="仿宋_GB2312" w:eastAsia="仿宋_GB2312" w:hAnsi="仿宋_GB2312" w:cs="仿宋_GB2312" w:hint="eastAsia"/>
          <w:sz w:val="32"/>
          <w:szCs w:val="32"/>
        </w:rPr>
        <w:t>加快建设范家屯东北智慧物流区，集聚发展电子商务、现代物流等企业，打造商贸服务型国家物流枢纽。</w:t>
      </w:r>
      <w:r>
        <w:rPr>
          <w:rFonts w:ascii="仿宋_GB2312" w:eastAsia="仿宋_GB2312" w:hAnsi="仿宋_GB2312" w:cs="仿宋_GB2312" w:hint="eastAsia"/>
          <w:color w:val="000000"/>
          <w:sz w:val="32"/>
          <w:szCs w:val="32"/>
        </w:rPr>
        <w:t>依托范家屯青怡坊国际花卉旅游文化产业园，重点建设花卉种植基地、花卉冷链物流仓储及物流中心、花卉核心产业园区、花卉主体商街及高端社区、花卉产业交易区，着力打造东北地区知名的以花卉为主题的特色服务业小镇。</w:t>
      </w:r>
      <w:r>
        <w:rPr>
          <w:rFonts w:ascii="仿宋_GB2312" w:eastAsia="仿宋_GB2312" w:hAnsi="仿宋_GB2312" w:cs="仿宋_GB2312" w:hint="eastAsia"/>
          <w:color w:val="000000"/>
          <w:sz w:val="32"/>
          <w:szCs w:val="32"/>
        </w:rPr>
        <w:lastRenderedPageBreak/>
        <w:t>以公主岭经开区恒大温泉城、恒大养生谷项目为核心，重点建设八国温泉、风情商业街、恒河医院、养老院、少年宫、运动中心、风情商业街、美食街、酒吧街等项目，着力打造东北最大的以温泉康养为主题的特色服务业小镇。</w:t>
      </w:r>
      <w:r>
        <w:rPr>
          <w:rFonts w:ascii="仿宋_GB2312" w:eastAsia="仿宋_GB2312" w:hAnsi="仿宋_GB2312" w:cs="仿宋_GB2312" w:hint="eastAsia"/>
          <w:sz w:val="32"/>
          <w:szCs w:val="32"/>
        </w:rPr>
        <w:t>加大企业和项目引进力度，</w:t>
      </w:r>
      <w:r>
        <w:rPr>
          <w:rFonts w:ascii="仿宋_GB2312" w:eastAsia="仿宋_GB2312" w:hAnsi="仿宋_GB2312" w:cs="仿宋_GB2312"/>
          <w:sz w:val="32"/>
          <w:szCs w:val="32"/>
        </w:rPr>
        <w:t>推进</w:t>
      </w:r>
      <w:r>
        <w:rPr>
          <w:rFonts w:ascii="仿宋_GB2312" w:eastAsia="仿宋_GB2312" w:hAnsi="仿宋_GB2312" w:cs="仿宋_GB2312" w:hint="eastAsia"/>
          <w:sz w:val="32"/>
          <w:szCs w:val="32"/>
        </w:rPr>
        <w:t>电子商务、教育培训</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文化创意、医疗健康、</w:t>
      </w:r>
      <w:r>
        <w:rPr>
          <w:rFonts w:ascii="仿宋_GB2312" w:eastAsia="仿宋_GB2312" w:hAnsi="仿宋_GB2312" w:cs="仿宋_GB2312"/>
          <w:sz w:val="32"/>
          <w:szCs w:val="32"/>
        </w:rPr>
        <w:t>金融</w:t>
      </w:r>
      <w:r>
        <w:rPr>
          <w:rFonts w:ascii="仿宋_GB2312" w:eastAsia="仿宋_GB2312" w:hAnsi="仿宋_GB2312" w:cs="仿宋_GB2312" w:hint="eastAsia"/>
          <w:sz w:val="32"/>
          <w:szCs w:val="32"/>
        </w:rPr>
        <w:t>等</w:t>
      </w:r>
      <w:r>
        <w:rPr>
          <w:rFonts w:ascii="仿宋_GB2312" w:eastAsia="仿宋_GB2312" w:hAnsi="仿宋_GB2312" w:cs="仿宋_GB2312"/>
          <w:sz w:val="32"/>
          <w:szCs w:val="32"/>
        </w:rPr>
        <w:t>服务业态集聚发展。</w:t>
      </w:r>
    </w:p>
    <w:p w14:paraId="55241DA7" w14:textId="77777777" w:rsidR="00501569" w:rsidRDefault="00C74794">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sz w:val="32"/>
          <w:szCs w:val="32"/>
        </w:rPr>
        <w:t>岭西新城服务业集聚区。</w:t>
      </w:r>
      <w:r>
        <w:rPr>
          <w:rFonts w:ascii="仿宋_GB2312" w:eastAsia="仿宋_GB2312" w:hAnsi="仿宋_GB2312" w:cs="仿宋_GB2312" w:hint="eastAsia"/>
          <w:sz w:val="32"/>
          <w:szCs w:val="32"/>
        </w:rPr>
        <w:t>聚焦城市行政、科研文教、中央商务、</w:t>
      </w:r>
      <w:r>
        <w:rPr>
          <w:rFonts w:ascii="仿宋_GB2312" w:eastAsia="仿宋_GB2312" w:hAnsi="仿宋_GB2312" w:cs="仿宋_GB2312"/>
          <w:sz w:val="32"/>
          <w:szCs w:val="32"/>
        </w:rPr>
        <w:t>高档住宅</w:t>
      </w:r>
      <w:r>
        <w:rPr>
          <w:rFonts w:ascii="仿宋_GB2312" w:eastAsia="仿宋_GB2312" w:hAnsi="仿宋_GB2312" w:cs="仿宋_GB2312" w:hint="eastAsia"/>
          <w:sz w:val="32"/>
          <w:szCs w:val="32"/>
        </w:rPr>
        <w:t>等高端服务功能导向，加快绿化景观建设和大型体育场馆、文化馆、</w:t>
      </w:r>
      <w:r>
        <w:rPr>
          <w:rFonts w:ascii="仿宋_GB2312" w:eastAsia="仿宋_GB2312" w:hAnsi="仿宋_GB2312" w:cs="仿宋_GB2312"/>
          <w:sz w:val="32"/>
          <w:szCs w:val="32"/>
        </w:rPr>
        <w:t>商务</w:t>
      </w:r>
      <w:r>
        <w:rPr>
          <w:rFonts w:ascii="仿宋_GB2312" w:eastAsia="仿宋_GB2312" w:hAnsi="仿宋_GB2312" w:cs="仿宋_GB2312" w:hint="eastAsia"/>
          <w:sz w:val="32"/>
          <w:szCs w:val="32"/>
        </w:rPr>
        <w:t>会展中心、</w:t>
      </w:r>
      <w:r>
        <w:rPr>
          <w:rFonts w:ascii="仿宋_GB2312" w:eastAsia="仿宋_GB2312" w:hAnsi="仿宋_GB2312" w:cs="仿宋_GB2312"/>
          <w:sz w:val="32"/>
          <w:szCs w:val="32"/>
        </w:rPr>
        <w:t>特色商街</w:t>
      </w:r>
      <w:r>
        <w:rPr>
          <w:rFonts w:ascii="仿宋_GB2312" w:eastAsia="仿宋_GB2312" w:hAnsi="仿宋_GB2312" w:cs="仿宋_GB2312" w:hint="eastAsia"/>
          <w:sz w:val="32"/>
          <w:szCs w:val="32"/>
        </w:rPr>
        <w:t>等服务设施布局，推进建设文体服务中心，打造集中央</w:t>
      </w:r>
      <w:r>
        <w:rPr>
          <w:rFonts w:ascii="仿宋_GB2312" w:eastAsia="仿宋_GB2312" w:hAnsi="仿宋_GB2312" w:cs="仿宋_GB2312"/>
          <w:sz w:val="32"/>
          <w:szCs w:val="32"/>
        </w:rPr>
        <w:t>商务区、金融街、教育组团、医院组团为一体的</w:t>
      </w:r>
      <w:r>
        <w:rPr>
          <w:rFonts w:ascii="仿宋_GB2312" w:eastAsia="仿宋_GB2312" w:hAnsi="仿宋_GB2312" w:cs="仿宋_GB2312" w:hint="eastAsia"/>
          <w:sz w:val="32"/>
          <w:szCs w:val="32"/>
        </w:rPr>
        <w:t>服务业集聚区，提升城市综合服务职能。</w:t>
      </w:r>
    </w:p>
    <w:tbl>
      <w:tblPr>
        <w:tblStyle w:val="af0"/>
        <w:tblW w:w="0" w:type="auto"/>
        <w:tblLook w:val="04A0" w:firstRow="1" w:lastRow="0" w:firstColumn="1" w:lastColumn="0" w:noHBand="0" w:noVBand="1"/>
      </w:tblPr>
      <w:tblGrid>
        <w:gridCol w:w="8296"/>
      </w:tblGrid>
      <w:tr w:rsidR="00501569" w14:paraId="3F6B8410" w14:textId="77777777">
        <w:tc>
          <w:tcPr>
            <w:tcW w:w="8522" w:type="dxa"/>
          </w:tcPr>
          <w:p w14:paraId="6592684E" w14:textId="77777777" w:rsidR="00501569" w:rsidRDefault="00C74794" w:rsidP="0045498C">
            <w:pPr>
              <w:adjustRightInd w:val="0"/>
              <w:snapToGrid w:val="0"/>
              <w:spacing w:beforeLines="25" w:before="78" w:line="360" w:lineRule="auto"/>
              <w:ind w:firstLineChars="200" w:firstLine="562"/>
              <w:jc w:val="center"/>
              <w:rPr>
                <w:rFonts w:ascii="楷体_GB2312" w:eastAsia="楷体_GB2312" w:hAnsi="楷体_GB2312" w:cs="楷体_GB2312"/>
                <w:b/>
                <w:sz w:val="28"/>
                <w:szCs w:val="28"/>
              </w:rPr>
            </w:pPr>
            <w:r>
              <w:rPr>
                <w:rFonts w:ascii="楷体_GB2312" w:eastAsia="楷体_GB2312" w:hAnsi="楷体_GB2312" w:cs="楷体_GB2312" w:hint="eastAsia"/>
                <w:b/>
                <w:sz w:val="28"/>
                <w:szCs w:val="28"/>
              </w:rPr>
              <w:t>专栏</w:t>
            </w:r>
            <w:r>
              <w:rPr>
                <w:rFonts w:ascii="楷体_GB2312" w:eastAsia="楷体_GB2312" w:hAnsi="楷体_GB2312" w:cs="楷体_GB2312"/>
                <w:b/>
                <w:sz w:val="28"/>
                <w:szCs w:val="28"/>
              </w:rPr>
              <w:t>9</w:t>
            </w:r>
            <w:r>
              <w:rPr>
                <w:rFonts w:ascii="楷体_GB2312" w:eastAsia="楷体_GB2312" w:hAnsi="楷体_GB2312" w:cs="楷体_GB2312" w:hint="eastAsia"/>
                <w:b/>
                <w:sz w:val="28"/>
                <w:szCs w:val="28"/>
              </w:rPr>
              <w:t>：服务业重点项目</w:t>
            </w:r>
          </w:p>
          <w:p w14:paraId="3CB873F8" w14:textId="77777777" w:rsidR="00501569" w:rsidRDefault="00C74794">
            <w:pPr>
              <w:adjustRightInd w:val="0"/>
              <w:snapToGrid w:val="0"/>
              <w:spacing w:line="360" w:lineRule="auto"/>
              <w:ind w:firstLineChars="200" w:firstLine="422"/>
              <w:rPr>
                <w:rFonts w:ascii="Calibri" w:eastAsia="宋体" w:hAnsi="Calibri" w:cs="Times New Roman"/>
                <w:szCs w:val="24"/>
              </w:rPr>
            </w:pPr>
            <w:r>
              <w:rPr>
                <w:rFonts w:ascii="Calibri" w:eastAsia="宋体" w:hAnsi="Calibri" w:cs="Times New Roman" w:hint="eastAsia"/>
                <w:b/>
                <w:bCs/>
                <w:szCs w:val="24"/>
              </w:rPr>
              <w:t>公主岭市汽车后服务市场：</w:t>
            </w:r>
            <w:r>
              <w:rPr>
                <w:rFonts w:ascii="Calibri" w:eastAsia="宋体" w:hAnsi="Calibri" w:cs="Times New Roman" w:hint="eastAsia"/>
                <w:szCs w:val="24"/>
              </w:rPr>
              <w:t>项目集汽车全产业链金融服务、汽车后市场电商体验、汽车零部件集散、汽车交易、汽车保养维修、汽车美容、汽车拆解等内容于一体。</w:t>
            </w:r>
          </w:p>
          <w:p w14:paraId="0B45BFB2" w14:textId="77777777" w:rsidR="00501569" w:rsidRDefault="00C74794">
            <w:pPr>
              <w:adjustRightInd w:val="0"/>
              <w:snapToGrid w:val="0"/>
              <w:spacing w:line="360" w:lineRule="auto"/>
              <w:ind w:firstLineChars="200" w:firstLine="422"/>
              <w:rPr>
                <w:rFonts w:ascii="宋体" w:eastAsia="宋体" w:hAnsi="宋体" w:cs="仿宋"/>
                <w:kern w:val="0"/>
                <w:szCs w:val="21"/>
              </w:rPr>
            </w:pPr>
            <w:r>
              <w:rPr>
                <w:rFonts w:ascii="宋体" w:eastAsia="宋体" w:hAnsi="宋体" w:cs="仿宋" w:hint="eastAsia"/>
                <w:b/>
                <w:bCs/>
                <w:kern w:val="0"/>
                <w:szCs w:val="21"/>
              </w:rPr>
              <w:t>家居建材商业街：</w:t>
            </w:r>
            <w:r>
              <w:rPr>
                <w:rFonts w:ascii="宋体" w:eastAsia="宋体" w:hAnsi="宋体" w:cs="仿宋" w:hint="eastAsia"/>
                <w:kern w:val="0"/>
                <w:szCs w:val="21"/>
              </w:rPr>
              <w:t>依托公主岭市浙江家居装饰城区域划布局，重点引入国际、国内知名家居品牌，实现传统家居零售向风格化、品质化方向转变，引导城区零散的小网点入场经营，将光明路家居建材商业街打造成功能齐全、品类丰富、配套完善的“一站式”家居建材采购基地，实现市场规模效益。</w:t>
            </w:r>
          </w:p>
          <w:p w14:paraId="0DD7D7E6" w14:textId="77777777" w:rsidR="00501569" w:rsidRDefault="00C74794">
            <w:pPr>
              <w:adjustRightInd w:val="0"/>
              <w:snapToGrid w:val="0"/>
              <w:spacing w:line="360" w:lineRule="auto"/>
              <w:ind w:firstLineChars="200" w:firstLine="422"/>
              <w:rPr>
                <w:rFonts w:ascii="宋体" w:eastAsia="宋体" w:hAnsi="宋体" w:cs="仿宋"/>
                <w:kern w:val="0"/>
                <w:szCs w:val="21"/>
              </w:rPr>
            </w:pPr>
            <w:r>
              <w:rPr>
                <w:rFonts w:ascii="宋体" w:eastAsia="宋体" w:hAnsi="宋体" w:cs="仿宋" w:hint="eastAsia"/>
                <w:b/>
                <w:bCs/>
                <w:kern w:val="0"/>
                <w:szCs w:val="21"/>
              </w:rPr>
              <w:t>公园1号商业街：</w:t>
            </w:r>
            <w:r>
              <w:rPr>
                <w:rFonts w:ascii="宋体" w:eastAsia="宋体" w:hAnsi="宋体" w:cs="仿宋" w:hint="eastAsia"/>
                <w:kern w:val="0"/>
                <w:szCs w:val="21"/>
              </w:rPr>
              <w:t>以家庭体验式购物为主，以休闲、购物、儿童体验区、家庭体验区、融合本地特色及风情为主题，引入知名服饰品牌，形成以品牌服饰展销为主题的特色街区。</w:t>
            </w:r>
          </w:p>
          <w:p w14:paraId="2C8249EE" w14:textId="77777777" w:rsidR="00501569" w:rsidRDefault="00C74794">
            <w:pPr>
              <w:adjustRightInd w:val="0"/>
              <w:snapToGrid w:val="0"/>
              <w:spacing w:line="360" w:lineRule="auto"/>
              <w:ind w:firstLineChars="200" w:firstLine="422"/>
              <w:rPr>
                <w:rFonts w:ascii="宋体" w:eastAsia="宋体" w:hAnsi="宋体" w:cs="仿宋"/>
                <w:kern w:val="0"/>
                <w:szCs w:val="21"/>
              </w:rPr>
            </w:pPr>
            <w:r>
              <w:rPr>
                <w:rFonts w:ascii="宋体" w:eastAsia="宋体" w:hAnsi="宋体" w:cs="仿宋" w:hint="eastAsia"/>
                <w:b/>
                <w:bCs/>
                <w:kern w:val="0"/>
                <w:szCs w:val="21"/>
              </w:rPr>
              <w:t>范家屯商业步行街：</w:t>
            </w:r>
            <w:r>
              <w:rPr>
                <w:rFonts w:ascii="宋体" w:eastAsia="宋体" w:hAnsi="宋体" w:cs="仿宋" w:hint="eastAsia"/>
                <w:kern w:val="0"/>
                <w:szCs w:val="21"/>
              </w:rPr>
              <w:t>打造集餐饮、购物、生活休闲为一体的多样化商贸服务业街区，</w:t>
            </w:r>
            <w:r>
              <w:rPr>
                <w:rFonts w:ascii="宋体" w:eastAsia="宋体" w:hAnsi="宋体" w:cs="仿宋" w:hint="eastAsia"/>
                <w:b/>
                <w:bCs/>
                <w:kern w:val="0"/>
                <w:szCs w:val="21"/>
              </w:rPr>
              <w:t>一</w:t>
            </w:r>
            <w:r>
              <w:rPr>
                <w:rFonts w:ascii="宋体" w:eastAsia="宋体" w:hAnsi="宋体" w:cs="仿宋" w:hint="eastAsia"/>
                <w:kern w:val="0"/>
                <w:szCs w:val="21"/>
              </w:rPr>
              <w:t>期建设旺和商业街，长170米，二期继续开发建设延长商业街，由兴华路延长至清远路，建设总长600米。</w:t>
            </w:r>
          </w:p>
          <w:p w14:paraId="1D5AEBDB" w14:textId="77777777" w:rsidR="00501569" w:rsidRDefault="00C74794">
            <w:pPr>
              <w:adjustRightInd w:val="0"/>
              <w:snapToGrid w:val="0"/>
              <w:spacing w:line="360" w:lineRule="auto"/>
              <w:ind w:firstLineChars="200" w:firstLine="422"/>
              <w:rPr>
                <w:rFonts w:ascii="宋体" w:eastAsia="宋体" w:hAnsi="宋体" w:cs="仿宋"/>
                <w:kern w:val="0"/>
                <w:szCs w:val="21"/>
              </w:rPr>
            </w:pPr>
            <w:r>
              <w:rPr>
                <w:rFonts w:ascii="宋体" w:eastAsia="宋体" w:hAnsi="宋体" w:cs="仿宋" w:hint="eastAsia"/>
                <w:b/>
                <w:bCs/>
                <w:kern w:val="0"/>
                <w:szCs w:val="21"/>
              </w:rPr>
              <w:t>荣超商业街：</w:t>
            </w:r>
            <w:r>
              <w:rPr>
                <w:rFonts w:ascii="宋体" w:eastAsia="宋体" w:hAnsi="宋体" w:cs="仿宋" w:hint="eastAsia"/>
                <w:kern w:val="0"/>
                <w:szCs w:val="21"/>
              </w:rPr>
              <w:t>建成集购物、休闲、娱乐、住宿、餐饮为一体的多业态商业街区，服务岭西周边政法新城、城市花园、利园等多个住宅小区，提升服务档次和购物体验。</w:t>
            </w:r>
          </w:p>
          <w:p w14:paraId="4416F378" w14:textId="77777777" w:rsidR="00501569" w:rsidRDefault="00C74794">
            <w:pPr>
              <w:adjustRightInd w:val="0"/>
              <w:snapToGrid w:val="0"/>
              <w:spacing w:line="360" w:lineRule="auto"/>
              <w:ind w:firstLineChars="200" w:firstLine="422"/>
              <w:rPr>
                <w:rFonts w:ascii="宋体" w:eastAsia="宋体" w:hAnsi="宋体" w:cs="仿宋"/>
                <w:kern w:val="0"/>
                <w:szCs w:val="21"/>
              </w:rPr>
            </w:pPr>
            <w:r>
              <w:rPr>
                <w:rFonts w:ascii="宋体" w:eastAsia="宋体" w:hAnsi="宋体" w:cs="仿宋" w:hint="eastAsia"/>
                <w:b/>
                <w:kern w:val="0"/>
                <w:szCs w:val="21"/>
              </w:rPr>
              <w:lastRenderedPageBreak/>
              <w:t>铁北商业综合体：</w:t>
            </w:r>
            <w:r>
              <w:rPr>
                <w:rFonts w:ascii="宋体" w:eastAsia="宋体" w:hAnsi="宋体" w:cs="仿宋" w:hint="eastAsia"/>
                <w:kern w:val="0"/>
                <w:szCs w:val="21"/>
              </w:rPr>
              <w:t>依托棚户区改造工程，以银河佳</w:t>
            </w:r>
            <w:r w:rsidR="00FE769C">
              <w:rPr>
                <w:rFonts w:ascii="宋体" w:eastAsia="宋体" w:hAnsi="宋体" w:cs="仿宋" w:hint="eastAsia"/>
                <w:kern w:val="0"/>
                <w:szCs w:val="21"/>
              </w:rPr>
              <w:t>苑</w:t>
            </w:r>
            <w:r>
              <w:rPr>
                <w:rFonts w:ascii="宋体" w:eastAsia="宋体" w:hAnsi="宋体" w:cs="仿宋" w:hint="eastAsia"/>
                <w:kern w:val="0"/>
                <w:szCs w:val="21"/>
              </w:rPr>
              <w:t>为支撑，构建集商贸零售、社区服务于一体的商贸中心。</w:t>
            </w:r>
          </w:p>
          <w:p w14:paraId="3F87244D" w14:textId="77777777" w:rsidR="00501569" w:rsidRDefault="00C74794">
            <w:pPr>
              <w:adjustRightInd w:val="0"/>
              <w:snapToGrid w:val="0"/>
              <w:spacing w:line="360" w:lineRule="auto"/>
              <w:ind w:firstLineChars="200" w:firstLine="422"/>
              <w:rPr>
                <w:rFonts w:ascii="宋体" w:eastAsia="宋体" w:hAnsi="宋体" w:cs="仿宋"/>
              </w:rPr>
            </w:pPr>
            <w:r>
              <w:rPr>
                <w:rFonts w:ascii="宋体" w:eastAsia="宋体" w:hAnsi="宋体" w:cs="黑体" w:hint="eastAsia"/>
                <w:b/>
              </w:rPr>
              <w:t>都源商业综合体及都源·岭尚项目：</w:t>
            </w:r>
            <w:r>
              <w:rPr>
                <w:rFonts w:ascii="宋体" w:eastAsia="宋体" w:hAnsi="宋体" w:cs="黑体" w:hint="eastAsia"/>
              </w:rPr>
              <w:t>总投资18亿元，</w:t>
            </w:r>
            <w:r>
              <w:rPr>
                <w:rFonts w:ascii="宋体" w:eastAsia="宋体" w:hAnsi="宋体" w:cs="仿宋" w:hint="eastAsia"/>
              </w:rPr>
              <w:t>建设7万平方米农贸产品批发交易市场；8万平方米商业街，经营大连干鲜海产品批发交易，休闲娱乐餐饮服务，综合服装百货，电影院等。</w:t>
            </w:r>
          </w:p>
          <w:p w14:paraId="3E88726B" w14:textId="77777777" w:rsidR="00501569" w:rsidRDefault="00C74794">
            <w:pPr>
              <w:adjustRightInd w:val="0"/>
              <w:snapToGrid w:val="0"/>
              <w:spacing w:line="360" w:lineRule="auto"/>
              <w:ind w:firstLineChars="200" w:firstLine="422"/>
              <w:rPr>
                <w:rFonts w:ascii="宋体" w:eastAsia="宋体" w:hAnsi="宋体" w:cs="仿宋"/>
              </w:rPr>
            </w:pPr>
            <w:r>
              <w:rPr>
                <w:rFonts w:ascii="宋体" w:eastAsia="宋体" w:hAnsi="宋体" w:cs="黑体" w:hint="eastAsia"/>
                <w:b/>
              </w:rPr>
              <w:t>国际汽车社区项目：</w:t>
            </w:r>
            <w:r>
              <w:rPr>
                <w:rFonts w:ascii="宋体" w:eastAsia="宋体" w:hAnsi="宋体" w:cs="黑体" w:hint="eastAsia"/>
              </w:rPr>
              <w:t>总投资40亿元，建设</w:t>
            </w:r>
            <w:r>
              <w:rPr>
                <w:rFonts w:ascii="宋体" w:eastAsia="宋体" w:hAnsi="宋体" w:cs="仿宋" w:hint="eastAsia"/>
              </w:rPr>
              <w:t>活力城购物中心、九年一贯制幼、小、初国际学校、汽车主题广场、精品住宅及特色商业街。</w:t>
            </w:r>
          </w:p>
          <w:p w14:paraId="139A418D" w14:textId="77777777" w:rsidR="00501569" w:rsidRDefault="00C74794">
            <w:pPr>
              <w:adjustRightInd w:val="0"/>
              <w:snapToGrid w:val="0"/>
              <w:spacing w:line="360" w:lineRule="auto"/>
              <w:ind w:firstLineChars="200" w:firstLine="422"/>
              <w:rPr>
                <w:rFonts w:ascii="宋体" w:eastAsia="宋体" w:hAnsi="宋体" w:cs="仿宋"/>
              </w:rPr>
            </w:pPr>
            <w:r>
              <w:rPr>
                <w:rFonts w:ascii="宋体" w:eastAsia="宋体" w:hAnsi="宋体" w:cs="黑体" w:hint="eastAsia"/>
                <w:b/>
              </w:rPr>
              <w:t>宝裕康养社区项目：</w:t>
            </w:r>
            <w:r>
              <w:rPr>
                <w:rFonts w:ascii="宋体" w:eastAsia="宋体" w:hAnsi="宋体" w:cs="黑体" w:hint="eastAsia"/>
              </w:rPr>
              <w:t>总投资32亿元，</w:t>
            </w:r>
            <w:r>
              <w:rPr>
                <w:rFonts w:ascii="宋体" w:eastAsia="宋体" w:hAnsi="宋体" w:cs="仿宋" w:hint="eastAsia"/>
              </w:rPr>
              <w:t>建设老年休养中心、公寓（医疗、体检、康复、体育馆等）、子女公寓、养生公寓与对应配套设施。</w:t>
            </w:r>
          </w:p>
          <w:p w14:paraId="1FD16710" w14:textId="77777777" w:rsidR="00501569" w:rsidRDefault="00C74794">
            <w:pPr>
              <w:adjustRightInd w:val="0"/>
              <w:snapToGrid w:val="0"/>
              <w:spacing w:line="360" w:lineRule="auto"/>
              <w:ind w:firstLineChars="200" w:firstLine="422"/>
              <w:rPr>
                <w:rFonts w:ascii="宋体" w:eastAsia="宋体" w:hAnsi="宋体" w:cs="黑体"/>
              </w:rPr>
            </w:pPr>
            <w:r>
              <w:rPr>
                <w:rFonts w:ascii="宋体" w:eastAsia="宋体" w:hAnsi="宋体" w:cs="黑体" w:hint="eastAsia"/>
                <w:b/>
              </w:rPr>
              <w:t>伟峰时代商业中心、大岭中央公园、伟峰国际学校及伟峰岭域项目：</w:t>
            </w:r>
            <w:r>
              <w:rPr>
                <w:rFonts w:ascii="宋体" w:eastAsia="宋体" w:hAnsi="宋体" w:cs="黑体" w:hint="eastAsia"/>
              </w:rPr>
              <w:t>总投资156.5亿元，</w:t>
            </w:r>
            <w:r>
              <w:rPr>
                <w:rFonts w:ascii="宋体" w:eastAsia="宋体" w:hAnsi="宋体" w:cs="仿宋" w:hint="eastAsia"/>
              </w:rPr>
              <w:t>建设涉及购物中心、商业街、写字楼、四星级宾馆、滑板公园、康幼公园、艺术公园、运动公园、市民广场；幼儿园、小学、初中义务教育学校、国际高中。</w:t>
            </w:r>
          </w:p>
        </w:tc>
      </w:tr>
    </w:tbl>
    <w:p w14:paraId="1AB63CF2" w14:textId="77777777" w:rsidR="005717BE" w:rsidRDefault="00C74794" w:rsidP="0045498C">
      <w:pPr>
        <w:spacing w:beforeLines="80" w:before="249"/>
        <w:jc w:val="center"/>
        <w:outlineLvl w:val="0"/>
        <w:rPr>
          <w:rFonts w:ascii="黑体" w:eastAsia="黑体" w:hAnsi="黑体" w:cs="黑体"/>
          <w:sz w:val="32"/>
          <w:szCs w:val="32"/>
        </w:rPr>
      </w:pPr>
      <w:bookmarkStart w:id="35" w:name="_Toc21671"/>
      <w:r>
        <w:rPr>
          <w:rFonts w:ascii="黑体" w:eastAsia="黑体" w:hAnsi="黑体" w:cs="黑体" w:hint="eastAsia"/>
          <w:sz w:val="32"/>
          <w:szCs w:val="32"/>
        </w:rPr>
        <w:lastRenderedPageBreak/>
        <w:t xml:space="preserve">第五章 </w:t>
      </w:r>
      <w:bookmarkStart w:id="36" w:name="_Hlk54616255"/>
      <w:r>
        <w:rPr>
          <w:rFonts w:ascii="黑体" w:eastAsia="黑体" w:hAnsi="黑体" w:cs="黑体" w:hint="eastAsia"/>
          <w:sz w:val="32"/>
          <w:szCs w:val="32"/>
        </w:rPr>
        <w:t>对接长春国家区域创新中心建设，实施</w:t>
      </w:r>
    </w:p>
    <w:p w14:paraId="5C4CCF4D" w14:textId="77777777" w:rsidR="00501569" w:rsidRDefault="00C74794" w:rsidP="0045498C">
      <w:pPr>
        <w:spacing w:afterLines="50" w:after="156"/>
        <w:jc w:val="center"/>
        <w:outlineLvl w:val="0"/>
        <w:rPr>
          <w:rFonts w:ascii="楷体_GB2312" w:eastAsia="楷体_GB2312" w:hAnsi="楷体_GB2312" w:cs="楷体_GB2312"/>
          <w:sz w:val="32"/>
          <w:szCs w:val="32"/>
        </w:rPr>
      </w:pPr>
      <w:r>
        <w:rPr>
          <w:rFonts w:ascii="黑体" w:eastAsia="黑体" w:hAnsi="黑体" w:cs="黑体" w:hint="eastAsia"/>
          <w:sz w:val="32"/>
          <w:szCs w:val="32"/>
        </w:rPr>
        <w:t>产业技术协同创新促进工程</w:t>
      </w:r>
      <w:bookmarkEnd w:id="30"/>
      <w:bookmarkEnd w:id="35"/>
    </w:p>
    <w:p w14:paraId="09B9B071"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深入实施创新驱动和人才优先发展战略，加强</w:t>
      </w:r>
      <w:r>
        <w:rPr>
          <w:rFonts w:ascii="仿宋_GB2312" w:eastAsia="仿宋_GB2312" w:hAnsi="仿宋_GB2312" w:cs="仿宋_GB2312"/>
          <w:sz w:val="32"/>
          <w:szCs w:val="32"/>
        </w:rPr>
        <w:t>区域创新协同联动</w:t>
      </w:r>
      <w:r>
        <w:rPr>
          <w:rFonts w:ascii="仿宋_GB2312" w:eastAsia="仿宋_GB2312" w:hAnsi="仿宋_GB2312" w:cs="仿宋_GB2312" w:hint="eastAsia"/>
          <w:sz w:val="32"/>
          <w:szCs w:val="32"/>
        </w:rPr>
        <w:t>，引导区域创新要素高效对接，推进</w:t>
      </w:r>
      <w:r>
        <w:rPr>
          <w:rFonts w:ascii="仿宋_GB2312" w:eastAsia="仿宋_GB2312" w:hAnsi="仿宋_GB2312" w:cs="仿宋_GB2312"/>
          <w:sz w:val="32"/>
          <w:szCs w:val="32"/>
        </w:rPr>
        <w:t>创新链</w:t>
      </w:r>
      <w:r>
        <w:rPr>
          <w:rFonts w:ascii="仿宋_GB2312" w:eastAsia="仿宋_GB2312" w:hAnsi="仿宋_GB2312" w:cs="仿宋_GB2312" w:hint="eastAsia"/>
          <w:sz w:val="32"/>
          <w:szCs w:val="32"/>
        </w:rPr>
        <w:t>和</w:t>
      </w:r>
      <w:r>
        <w:rPr>
          <w:rFonts w:ascii="仿宋_GB2312" w:eastAsia="仿宋_GB2312" w:hAnsi="仿宋_GB2312" w:cs="仿宋_GB2312"/>
          <w:sz w:val="32"/>
          <w:szCs w:val="32"/>
        </w:rPr>
        <w:t>产业链</w:t>
      </w:r>
      <w:r>
        <w:rPr>
          <w:rFonts w:ascii="仿宋_GB2312" w:eastAsia="仿宋_GB2312" w:hAnsi="仿宋_GB2312" w:cs="仿宋_GB2312" w:hint="eastAsia"/>
          <w:sz w:val="32"/>
          <w:szCs w:val="32"/>
        </w:rPr>
        <w:t>融合布局</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完善“产学研”协同创新机制，强化</w:t>
      </w:r>
      <w:r>
        <w:rPr>
          <w:rFonts w:ascii="仿宋_GB2312" w:eastAsia="仿宋_GB2312" w:hAnsi="仿宋_GB2312" w:cs="仿宋_GB2312"/>
          <w:sz w:val="32"/>
          <w:szCs w:val="32"/>
        </w:rPr>
        <w:t>双创人才支撑，</w:t>
      </w:r>
      <w:r>
        <w:rPr>
          <w:rFonts w:ascii="仿宋_GB2312" w:eastAsia="仿宋_GB2312" w:hAnsi="仿宋_GB2312" w:cs="仿宋_GB2312" w:hint="eastAsia"/>
          <w:sz w:val="32"/>
          <w:szCs w:val="32"/>
        </w:rPr>
        <w:t>促进科技成果资本化、产业化，打造省级创新型城市。</w:t>
      </w:r>
    </w:p>
    <w:p w14:paraId="33B28F02"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color w:val="000000"/>
          <w:sz w:val="32"/>
          <w:szCs w:val="32"/>
        </w:rPr>
      </w:pPr>
      <w:bookmarkStart w:id="37" w:name="_Toc25844"/>
      <w:r w:rsidRPr="005717BE">
        <w:rPr>
          <w:rFonts w:ascii="楷体_GB2312" w:eastAsia="楷体_GB2312" w:hAnsi="楷体_GB2312" w:cs="楷体_GB2312" w:hint="eastAsia"/>
          <w:b/>
          <w:color w:val="000000"/>
          <w:sz w:val="32"/>
          <w:szCs w:val="32"/>
        </w:rPr>
        <w:t>第一节 强化与长春区域协同创新</w:t>
      </w:r>
      <w:bookmarkEnd w:id="37"/>
    </w:p>
    <w:p w14:paraId="6424FCCB" w14:textId="77777777" w:rsidR="00501569" w:rsidRDefault="00C74794">
      <w:pPr>
        <w:ind w:firstLineChars="200" w:firstLine="640"/>
        <w:rPr>
          <w:rFonts w:ascii="仿宋_GB2312" w:eastAsia="仿宋_GB2312" w:hAnsi="仿宋_GB2312" w:cs="仿宋_GB2312"/>
          <w:b/>
          <w:sz w:val="32"/>
          <w:szCs w:val="32"/>
        </w:rPr>
      </w:pPr>
      <w:r>
        <w:rPr>
          <w:rFonts w:ascii="仿宋_GB2312" w:eastAsia="仿宋_GB2312" w:hAnsi="仿宋_GB2312" w:cs="仿宋_GB2312" w:hint="eastAsia"/>
          <w:bCs/>
          <w:sz w:val="32"/>
          <w:szCs w:val="32"/>
        </w:rPr>
        <w:t>加快建设高新片区响水片区，</w:t>
      </w:r>
      <w:r>
        <w:rPr>
          <w:rFonts w:ascii="仿宋_GB2312" w:eastAsia="仿宋_GB2312" w:hAnsi="仿宋_GB2312" w:cs="仿宋_GB2312" w:hint="eastAsia"/>
          <w:sz w:val="32"/>
          <w:szCs w:val="32"/>
        </w:rPr>
        <w:t>联合开展生物医药、IT、高新农业、现代种业等技术攻关和成果转化</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围绕重点行业和科创企业，与长春联合打造一批产城融合型科技创新中心和高新技术产业集聚区，建立产品中试中心，推动高校院所科技攻关成果向中试成果转化，形成“长春研发—公主岭生产”的紧密型、共享型产业创新空间布局。利用吉林省科技</w:t>
      </w:r>
      <w:r>
        <w:rPr>
          <w:rFonts w:ascii="仿宋_GB2312" w:eastAsia="仿宋_GB2312" w:hAnsi="仿宋_GB2312" w:cs="仿宋_GB2312" w:hint="eastAsia"/>
          <w:sz w:val="32"/>
          <w:szCs w:val="32"/>
        </w:rPr>
        <w:lastRenderedPageBreak/>
        <w:t>大市场等技术交易平台和长春双创中心等技术孵化平台，加强创新科技成果托管、挂牌交易、拍卖等协同转化，推动中试成果通过市场化手段实现产业化。推进企业技术创新需求向高校院所科技攻关成果转化，建立“企业出题、先行投入、协同攻关、市场验收、政府补助”的科技项目组织实施机制。主动承接长春高科技项目转移，谋划建设</w:t>
      </w:r>
      <w:r>
        <w:rPr>
          <w:rFonts w:ascii="仿宋_GB2312" w:eastAsia="仿宋_GB2312" w:hAnsi="仿宋_GB2312" w:cs="仿宋_GB2312"/>
          <w:sz w:val="32"/>
          <w:szCs w:val="32"/>
        </w:rPr>
        <w:t>5G网络应用和智能终端产业等项目</w:t>
      </w:r>
      <w:r>
        <w:rPr>
          <w:rFonts w:ascii="仿宋_GB2312" w:eastAsia="仿宋_GB2312" w:hAnsi="仿宋_GB2312" w:cs="仿宋_GB2312" w:hint="eastAsia"/>
          <w:sz w:val="32"/>
          <w:szCs w:val="32"/>
        </w:rPr>
        <w:t>。</w:t>
      </w:r>
    </w:p>
    <w:p w14:paraId="7A02D301"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38" w:name="_Toc31747"/>
      <w:r w:rsidRPr="005717BE">
        <w:rPr>
          <w:rFonts w:ascii="楷体_GB2312" w:eastAsia="楷体_GB2312" w:hAnsi="楷体_GB2312" w:cs="楷体_GB2312" w:hint="eastAsia"/>
          <w:b/>
          <w:color w:val="000000"/>
          <w:sz w:val="32"/>
          <w:szCs w:val="32"/>
        </w:rPr>
        <w:t>第二节 推进产业链创新链深度融合</w:t>
      </w:r>
      <w:bookmarkEnd w:id="38"/>
    </w:p>
    <w:p w14:paraId="5965D6B5"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围绕装备制造、农产品加工等主导</w:t>
      </w:r>
      <w:r>
        <w:rPr>
          <w:rFonts w:ascii="仿宋_GB2312" w:eastAsia="仿宋_GB2312" w:hAnsi="仿宋_GB2312" w:cs="仿宋_GB2312"/>
          <w:sz w:val="32"/>
          <w:szCs w:val="32"/>
        </w:rPr>
        <w:t>产业</w:t>
      </w:r>
      <w:r>
        <w:rPr>
          <w:rFonts w:ascii="仿宋_GB2312" w:eastAsia="仿宋_GB2312" w:hAnsi="仿宋_GB2312" w:cs="仿宋_GB2312" w:hint="eastAsia"/>
          <w:sz w:val="32"/>
          <w:szCs w:val="32"/>
        </w:rPr>
        <w:t>，聚焦关键共性技术、前沿引领技术、应用型技术，探索开展新型产业技术集成创新试点，建立政产学研多方参与机制，开展跨学科、跨领域协作攻关，形成基础研究、技术开发、成果转化和产业创新全流程创新产业链。支持龙头企业跨区域整合科研院所力量，鼓励科研人员深度参与产业创新活动。综合运用政府采购、首台套政策、技术标准等政策工具，加快科研成果从样品到产品、从产品到商品转化。围绕科技成果转化链完善中介服务体系，加快建设中小微企业公共服务、研发服务、知识产权服务、融资服务、信用服务等创新创业要素平台。加快发展创新型市场主体，大力培育一批国家高新技术企业和“隐形冠军”，引导中小微企业向“专精特新”方向发展。实施“聚才聚智，创新创业”工程，引导科技人才与企业、项目、市场对接，搭建产学研系统创新平台和创新创业服务</w:t>
      </w:r>
      <w:r>
        <w:rPr>
          <w:rFonts w:ascii="仿宋_GB2312" w:eastAsia="仿宋_GB2312" w:hAnsi="仿宋_GB2312" w:cs="仿宋_GB2312" w:hint="eastAsia"/>
          <w:sz w:val="32"/>
          <w:szCs w:val="32"/>
        </w:rPr>
        <w:lastRenderedPageBreak/>
        <w:t>平台。</w:t>
      </w:r>
    </w:p>
    <w:p w14:paraId="32EAB5A5"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39" w:name="_Toc14053"/>
      <w:r w:rsidRPr="005717BE">
        <w:rPr>
          <w:rFonts w:ascii="楷体_GB2312" w:eastAsia="楷体_GB2312" w:hAnsi="楷体_GB2312" w:cs="楷体_GB2312" w:hint="eastAsia"/>
          <w:b/>
          <w:color w:val="000000"/>
          <w:sz w:val="32"/>
          <w:szCs w:val="32"/>
        </w:rPr>
        <w:t>第三节 强化人才支撑</w:t>
      </w:r>
      <w:bookmarkEnd w:id="39"/>
    </w:p>
    <w:p w14:paraId="71475740"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重点产业孵化园、重大工程项目为依托，引进行业领先水平、产业发展急需的领军人才和创新创业团队。建设社会公共服务体系和高技能人才培训基地，通过岗位培训、岗位练兵、技能竞赛等形式，加快培养技术技能型、复合技能型和知识技能型人才队伍。提升民营企业人才素质，通过基地培训、导师帮带、联合办学、创业辅导等形式，选拔培养一批懂经营、善管理、有大志、敢创新的优秀民营企业家、职业经理人、创业培训辅导师。加大新型职业农民培养力度，通过“国外+省外+省内、理论+实训”等方式，培养新型经营主体带头人、农业经理人和现代创新创业青年。加大对科研人才、管理人员、技术骨干和急需紧缺人才的支持制度安排，优化创新创业、安家落户、子女教育、医疗养老等方面配套政策，营造人才安心安身安业发展环境。</w:t>
      </w:r>
    </w:p>
    <w:p w14:paraId="58EB2A0F" w14:textId="77777777" w:rsidR="00501569" w:rsidRPr="005717BE" w:rsidRDefault="00C74794" w:rsidP="0045498C">
      <w:pPr>
        <w:pStyle w:val="2"/>
        <w:spacing w:beforeLines="50" w:before="156" w:afterLines="50" w:after="156" w:line="240" w:lineRule="auto"/>
        <w:ind w:firstLineChars="0" w:firstLine="0"/>
        <w:jc w:val="center"/>
        <w:outlineLvl w:val="1"/>
        <w:rPr>
          <w:rFonts w:ascii="楷体_GB2312" w:eastAsia="楷体_GB2312" w:hAnsi="楷体_GB2312" w:cs="楷体_GB2312"/>
          <w:b/>
          <w:color w:val="000000"/>
          <w:sz w:val="32"/>
          <w:szCs w:val="32"/>
        </w:rPr>
      </w:pPr>
      <w:bookmarkStart w:id="40" w:name="_Toc15933"/>
      <w:r w:rsidRPr="005717BE">
        <w:rPr>
          <w:rFonts w:ascii="楷体_GB2312" w:eastAsia="楷体_GB2312" w:hAnsi="楷体_GB2312" w:cs="楷体_GB2312" w:hint="eastAsia"/>
          <w:b/>
          <w:color w:val="000000"/>
          <w:sz w:val="32"/>
          <w:szCs w:val="32"/>
        </w:rPr>
        <w:t>第四节 优化创新创业生态环境</w:t>
      </w:r>
      <w:bookmarkEnd w:id="40"/>
    </w:p>
    <w:p w14:paraId="50B96C5F" w14:textId="77777777" w:rsidR="00501569" w:rsidRDefault="00C74794">
      <w:pPr>
        <w:pStyle w:val="2"/>
        <w:spacing w:line="240" w:lineRule="auto"/>
        <w:ind w:firstLine="640"/>
      </w:pPr>
      <w:r>
        <w:rPr>
          <w:rFonts w:ascii="仿宋_GB2312" w:hAnsi="仿宋_GB2312" w:cs="仿宋_GB2312" w:hint="eastAsia"/>
          <w:bCs/>
          <w:sz w:val="32"/>
          <w:szCs w:val="32"/>
        </w:rPr>
        <w:t>多渠道增加汽车零部件、农产品加工、装备制造、新能源和智能网联汽车等领域创新研发财政投入，加强科技小巨人企业研发经费投入补贴力度，支持企业建设技术中心。落实税收抵扣减免、政府采购订购、知识产权保护等支持政策，利用首台套订购、普惠性财税和保险等政策手段，降低企业</w:t>
      </w:r>
      <w:r>
        <w:rPr>
          <w:rFonts w:ascii="仿宋_GB2312" w:hAnsi="仿宋_GB2312" w:cs="仿宋_GB2312" w:hint="eastAsia"/>
          <w:bCs/>
          <w:sz w:val="32"/>
          <w:szCs w:val="32"/>
        </w:rPr>
        <w:lastRenderedPageBreak/>
        <w:t>创新成本。</w:t>
      </w:r>
      <w:r>
        <w:rPr>
          <w:rFonts w:ascii="仿宋_GB2312" w:hAnsi="仿宋_GB2312" w:cs="仿宋_GB2312" w:hint="eastAsia"/>
          <w:sz w:val="32"/>
          <w:szCs w:val="32"/>
        </w:rPr>
        <w:t>加强科技</w:t>
      </w:r>
      <w:r>
        <w:rPr>
          <w:rFonts w:ascii="仿宋_GB2312" w:hAnsi="仿宋_GB2312" w:cs="仿宋_GB2312"/>
          <w:sz w:val="32"/>
          <w:szCs w:val="32"/>
        </w:rPr>
        <w:t>金融服务支撑</w:t>
      </w:r>
      <w:r>
        <w:rPr>
          <w:rFonts w:ascii="仿宋_GB2312" w:hAnsi="仿宋_GB2312" w:cs="仿宋_GB2312" w:hint="eastAsia"/>
          <w:sz w:val="32"/>
          <w:szCs w:val="32"/>
        </w:rPr>
        <w:t>，</w:t>
      </w:r>
      <w:r>
        <w:rPr>
          <w:rFonts w:ascii="仿宋_GB2312" w:hAnsi="仿宋_GB2312" w:cs="仿宋_GB2312"/>
          <w:sz w:val="32"/>
          <w:szCs w:val="32"/>
        </w:rPr>
        <w:t>支持企业</w:t>
      </w:r>
      <w:r>
        <w:rPr>
          <w:rFonts w:ascii="仿宋_GB2312" w:hAnsi="仿宋_GB2312" w:cs="仿宋_GB2312" w:hint="eastAsia"/>
          <w:sz w:val="32"/>
          <w:szCs w:val="32"/>
        </w:rPr>
        <w:t>开展科技担保、专利许可收益权证券化、设备租赁等创新业务。</w:t>
      </w:r>
      <w:r>
        <w:rPr>
          <w:rFonts w:ascii="仿宋_GB2312" w:hAnsi="仿宋_GB2312" w:hint="eastAsia"/>
          <w:bCs/>
          <w:color w:val="000000"/>
          <w:sz w:val="32"/>
          <w:szCs w:val="32"/>
        </w:rPr>
        <w:t>推进大众创业万众创新，</w:t>
      </w:r>
      <w:r>
        <w:rPr>
          <w:rFonts w:ascii="仿宋_GB2312" w:hint="eastAsia"/>
          <w:sz w:val="32"/>
          <w:szCs w:val="32"/>
        </w:rPr>
        <w:t>培育建设一批“双创”示范基地、科技企业孵化器、众创空间、农民工返乡创业基地、大学生创业基地等多层次平台载体</w:t>
      </w:r>
      <w:r>
        <w:rPr>
          <w:rFonts w:ascii="仿宋_GB2312" w:hAnsi="仿宋_GB2312" w:hint="eastAsia"/>
          <w:bCs/>
          <w:color w:val="000000"/>
          <w:sz w:val="32"/>
          <w:szCs w:val="32"/>
        </w:rPr>
        <w:t>，推动创客、企业与高校、科研院所深度融通。推进响水镇科创中心建设，持续开展“双创”活动周，高水平举办和参加“双创”系列活动。推动“双创”向农业延伸，建设一批星创天地、乡村“双创”园和省级农民工等人员返乡创业基地，搭建农业农村领域创新创业一站式开放性综合服务平台。</w:t>
      </w:r>
      <w:r>
        <w:rPr>
          <w:rFonts w:ascii="仿宋_GB2312" w:hAnsi="仿宋_GB2312" w:cs="仿宋_GB2312" w:hint="eastAsia"/>
          <w:bCs/>
          <w:sz w:val="32"/>
          <w:szCs w:val="32"/>
        </w:rPr>
        <w:t>营造敢为人先、宽容失败的创新文化，树立崇尚创新、创业致富的价值导向，评选表彰和奖励一批“创新尖兵”、“创新新锐”典型人物。</w:t>
      </w:r>
    </w:p>
    <w:p w14:paraId="747F5A11"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41" w:name="_Toc6056"/>
      <w:r w:rsidRPr="005717BE">
        <w:rPr>
          <w:rFonts w:ascii="楷体_GB2312" w:eastAsia="楷体_GB2312" w:hAnsi="楷体_GB2312" w:cs="楷体_GB2312" w:hint="eastAsia"/>
          <w:b/>
          <w:color w:val="000000"/>
          <w:sz w:val="32"/>
          <w:szCs w:val="32"/>
        </w:rPr>
        <w:t>第五节 推进科技事业发展</w:t>
      </w:r>
      <w:bookmarkEnd w:id="41"/>
    </w:p>
    <w:p w14:paraId="54AF2B0C" w14:textId="77777777" w:rsidR="00501569" w:rsidRDefault="00C74794">
      <w:pPr>
        <w:pStyle w:val="2"/>
        <w:spacing w:line="240" w:lineRule="auto"/>
        <w:ind w:firstLine="640"/>
        <w:rPr>
          <w:rFonts w:ascii="宋体" w:eastAsia="宋体" w:hAnsi="宋体" w:cs="宋体"/>
          <w:color w:val="000000"/>
          <w:kern w:val="0"/>
          <w:szCs w:val="21"/>
        </w:rPr>
      </w:pPr>
      <w:r>
        <w:rPr>
          <w:rFonts w:ascii="仿宋_GB2312" w:hAnsi="仿宋_GB2312" w:cs="仿宋_GB2312" w:hint="eastAsia"/>
          <w:sz w:val="32"/>
          <w:szCs w:val="32"/>
        </w:rPr>
        <w:t>深入实施“基层科普行动计划”，加快推进科普中国</w:t>
      </w:r>
      <w:r>
        <w:rPr>
          <w:rFonts w:ascii="仿宋_GB2312" w:hAnsi="仿宋_GB2312" w:cs="仿宋_GB2312"/>
          <w:sz w:val="32"/>
          <w:szCs w:val="32"/>
        </w:rPr>
        <w:t>e</w:t>
      </w:r>
      <w:r>
        <w:rPr>
          <w:rFonts w:ascii="仿宋_GB2312" w:hAnsi="仿宋_GB2312" w:cs="仿宋_GB2312" w:hint="eastAsia"/>
          <w:sz w:val="32"/>
          <w:szCs w:val="32"/>
        </w:rPr>
        <w:t>站、科普示范基地、现代化科技场馆等科普设施建设。深化“全民科学素质提升专项行动”，持续办好“科普日”、“科普周”等传统科普活动和“科普大舞台”、“科普大讲台”、“科普大擂台”、“科普直通车”等新兴科普活动，稳步提</w:t>
      </w:r>
      <w:r w:rsidR="006403B9">
        <w:rPr>
          <w:rFonts w:ascii="仿宋_GB2312" w:hAnsi="仿宋_GB2312" w:cs="仿宋_GB2312" w:hint="eastAsia"/>
          <w:sz w:val="32"/>
          <w:szCs w:val="32"/>
        </w:rPr>
        <w:t>升</w:t>
      </w:r>
      <w:r>
        <w:rPr>
          <w:rFonts w:ascii="仿宋_GB2312" w:hAnsi="仿宋_GB2312" w:cs="仿宋_GB2312" w:hint="eastAsia"/>
          <w:sz w:val="32"/>
          <w:szCs w:val="32"/>
        </w:rPr>
        <w:t>公民科学素质素养。</w:t>
      </w:r>
    </w:p>
    <w:p w14:paraId="5F134259" w14:textId="77777777" w:rsidR="00501569" w:rsidRDefault="00C74794" w:rsidP="0045498C">
      <w:pPr>
        <w:keepNext/>
        <w:keepLines/>
        <w:adjustRightInd w:val="0"/>
        <w:spacing w:beforeLines="50" w:before="156" w:afterLines="50" w:after="156"/>
        <w:jc w:val="center"/>
        <w:outlineLvl w:val="0"/>
        <w:rPr>
          <w:rFonts w:ascii="仿宋" w:eastAsia="黑体" w:hAnsi="仿宋" w:cs="仿宋_GB2312"/>
          <w:w w:val="96"/>
          <w:kern w:val="44"/>
          <w:sz w:val="32"/>
          <w:szCs w:val="32"/>
        </w:rPr>
      </w:pPr>
      <w:bookmarkStart w:id="42" w:name="_Toc14016"/>
      <w:bookmarkStart w:id="43" w:name="_Toc40456129"/>
      <w:bookmarkStart w:id="44" w:name="_Hlk54616213"/>
      <w:bookmarkEnd w:id="36"/>
      <w:r>
        <w:rPr>
          <w:rFonts w:ascii="Tahoma" w:eastAsia="黑体" w:hAnsi="Tahoma" w:hint="eastAsia"/>
          <w:w w:val="96"/>
          <w:kern w:val="44"/>
          <w:sz w:val="32"/>
          <w:szCs w:val="44"/>
        </w:rPr>
        <w:lastRenderedPageBreak/>
        <w:t>第六章</w:t>
      </w:r>
      <w:r>
        <w:rPr>
          <w:rFonts w:ascii="Tahoma" w:eastAsia="黑体" w:hAnsi="Tahoma" w:hint="eastAsia"/>
          <w:w w:val="96"/>
          <w:kern w:val="44"/>
          <w:sz w:val="32"/>
          <w:szCs w:val="44"/>
        </w:rPr>
        <w:t xml:space="preserve"> </w:t>
      </w:r>
      <w:r>
        <w:rPr>
          <w:rFonts w:ascii="Tahoma" w:eastAsia="黑体" w:hAnsi="Tahoma" w:hint="eastAsia"/>
          <w:w w:val="96"/>
          <w:kern w:val="44"/>
          <w:sz w:val="32"/>
          <w:szCs w:val="44"/>
        </w:rPr>
        <w:t>深入实施乡村振兴战略，推进率先实现农业农村现代化</w:t>
      </w:r>
      <w:bookmarkEnd w:id="42"/>
      <w:bookmarkEnd w:id="43"/>
    </w:p>
    <w:p w14:paraId="00E54C1E" w14:textId="77777777" w:rsidR="00501569" w:rsidRDefault="00C74794">
      <w:pPr>
        <w:widowControl/>
        <w:adjustRightInd w:val="0"/>
        <w:ind w:firstLineChars="200" w:firstLine="640"/>
        <w:rPr>
          <w:rFonts w:ascii="仿宋_GB2312" w:eastAsia="仿宋_GB2312" w:hAnsi="仿宋_GB2312" w:cs="仿宋_GB2312"/>
          <w:kern w:val="0"/>
          <w:sz w:val="32"/>
          <w:szCs w:val="32"/>
          <w:lang w:val="zh-CN"/>
        </w:rPr>
      </w:pPr>
      <w:bookmarkStart w:id="45" w:name="_Toc26226"/>
      <w:r>
        <w:rPr>
          <w:rFonts w:ascii="仿宋_GB2312" w:eastAsia="仿宋_GB2312" w:hAnsi="仿宋_GB2312" w:cs="仿宋_GB2312" w:hint="eastAsia"/>
          <w:kern w:val="0"/>
          <w:sz w:val="32"/>
          <w:szCs w:val="32"/>
          <w:lang w:val="zh-CN"/>
        </w:rPr>
        <w:t>围绕率先实现农业农村现代化、争当现代农业建设排头兵总要求，稳步提升粮食综合生产能力，扎实推进农业“三大体系”建设，加快农村一二三产融合发展，促进农业全面升级、农村全面进步、农民全面发展。</w:t>
      </w:r>
    </w:p>
    <w:p w14:paraId="77A5D112" w14:textId="77777777" w:rsidR="00501569" w:rsidRPr="005717BE" w:rsidRDefault="00C74794" w:rsidP="0045498C">
      <w:pPr>
        <w:widowControl/>
        <w:adjustRightInd w:val="0"/>
        <w:spacing w:beforeLines="50" w:before="156" w:afterLines="50" w:after="156"/>
        <w:jc w:val="center"/>
        <w:outlineLvl w:val="1"/>
        <w:rPr>
          <w:rFonts w:ascii="楷体_GB2312" w:eastAsia="楷体_GB2312" w:hAnsi="楷体_GB2312" w:cs="楷体_GB2312"/>
          <w:b/>
          <w:bCs/>
          <w:sz w:val="32"/>
          <w:szCs w:val="32"/>
        </w:rPr>
      </w:pPr>
      <w:bookmarkStart w:id="46" w:name="_Toc10848"/>
      <w:bookmarkStart w:id="47" w:name="_Toc29159"/>
      <w:bookmarkEnd w:id="45"/>
      <w:r w:rsidRPr="005717BE">
        <w:rPr>
          <w:rFonts w:ascii="楷体_GB2312" w:eastAsia="楷体_GB2312" w:hAnsi="楷体_GB2312" w:cs="楷体_GB2312" w:hint="eastAsia"/>
          <w:b/>
          <w:bCs/>
          <w:sz w:val="32"/>
          <w:szCs w:val="32"/>
        </w:rPr>
        <w:t>第一节 扛稳国家粮食安全重任</w:t>
      </w:r>
      <w:bookmarkEnd w:id="46"/>
    </w:p>
    <w:p w14:paraId="2F5285E5" w14:textId="77777777" w:rsidR="00501569" w:rsidRDefault="00C74794">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实施最严格的耕地保护制度，深入实施藏粮于地、藏粮于技战略,</w:t>
      </w:r>
      <w:r>
        <w:rPr>
          <w:rFonts w:ascii="仿宋_GB2312" w:eastAsia="仿宋_GB2312" w:hAnsi="仿宋_GB2312" w:cs="仿宋_GB2312" w:hint="eastAsia"/>
          <w:kern w:val="0"/>
          <w:sz w:val="32"/>
          <w:szCs w:val="32"/>
        </w:rPr>
        <w:t>稳定和提高粮食产量</w:t>
      </w:r>
      <w:r>
        <w:rPr>
          <w:rFonts w:ascii="仿宋_GB2312" w:eastAsia="仿宋_GB2312" w:hAnsi="仿宋_GB2312" w:cs="仿宋_GB2312" w:hint="eastAsia"/>
          <w:sz w:val="32"/>
          <w:szCs w:val="32"/>
        </w:rPr>
        <w:t>，</w:t>
      </w:r>
      <w:r>
        <w:rPr>
          <w:rFonts w:ascii="仿宋_GB2312" w:eastAsia="仿宋_GB2312" w:hAnsi="仿宋_GB2312" w:cs="仿宋_GB2312" w:hint="eastAsia"/>
          <w:kern w:val="0"/>
          <w:sz w:val="32"/>
          <w:szCs w:val="32"/>
        </w:rPr>
        <w:t>巩固粮食主产区地位，为保障国家粮食安全作贡献。</w:t>
      </w:r>
    </w:p>
    <w:p w14:paraId="0BE765DB"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提高粮食生产能力。</w:t>
      </w:r>
      <w:r>
        <w:rPr>
          <w:rFonts w:ascii="仿宋_GB2312" w:eastAsia="仿宋_GB2312" w:hAnsi="仿宋_GB2312" w:cs="仿宋_GB2312" w:hint="eastAsia"/>
          <w:bCs/>
          <w:sz w:val="32"/>
          <w:szCs w:val="32"/>
        </w:rPr>
        <w:t>强化耕地保护，严守永久基本农田保护红线，落实耕地占补平衡制度，防止耕地“非农化”“非粮化”，落实粮食主产区利益补偿机制，保障农民种粮基本收益。</w:t>
      </w:r>
      <w:r>
        <w:rPr>
          <w:rFonts w:ascii="仿宋_GB2312" w:eastAsia="仿宋_GB2312" w:hAnsi="仿宋_GB2312" w:cs="仿宋_GB2312" w:hint="eastAsia"/>
          <w:sz w:val="32"/>
          <w:szCs w:val="32"/>
        </w:rPr>
        <w:t>推进高标准农田建设工程，</w:t>
      </w:r>
      <w:r>
        <w:rPr>
          <w:rFonts w:ascii="仿宋_GB2312" w:eastAsia="仿宋_GB2312" w:hAnsi="仿宋_GB2312" w:cs="仿宋_GB2312" w:hint="eastAsia"/>
          <w:kern w:val="0"/>
          <w:sz w:val="32"/>
          <w:szCs w:val="32"/>
          <w:lang w:val="zh-CN"/>
        </w:rPr>
        <w:t>在朝阳坡建设</w:t>
      </w:r>
      <w:r>
        <w:rPr>
          <w:rFonts w:ascii="仿宋_GB2312" w:eastAsia="仿宋_GB2312" w:hAnsi="仿宋_GB2312" w:cs="仿宋_GB2312" w:hint="eastAsia"/>
          <w:kern w:val="0"/>
          <w:sz w:val="32"/>
          <w:szCs w:val="32"/>
        </w:rPr>
        <w:t>10万亩</w:t>
      </w:r>
      <w:r>
        <w:rPr>
          <w:rFonts w:ascii="仿宋_GB2312" w:eastAsia="仿宋_GB2312" w:hAnsi="仿宋_GB2312" w:cs="仿宋_GB2312" w:hint="eastAsia"/>
          <w:kern w:val="0"/>
          <w:sz w:val="32"/>
          <w:szCs w:val="32"/>
          <w:lang w:val="zh-CN"/>
        </w:rPr>
        <w:t>高标准农田示范区，打造</w:t>
      </w:r>
      <w:r>
        <w:rPr>
          <w:rFonts w:ascii="仿宋_GB2312" w:eastAsia="仿宋_GB2312" w:hAnsi="仿宋_GB2312" w:cs="仿宋_GB2312" w:hint="eastAsia"/>
          <w:sz w:val="32"/>
          <w:szCs w:val="32"/>
        </w:rPr>
        <w:t>优质玉米、水稻等主粮生产基地，</w:t>
      </w:r>
      <w:r w:rsidR="006403B9">
        <w:rPr>
          <w:rFonts w:ascii="仿宋_GB2312" w:eastAsia="仿宋_GB2312" w:hAnsi="仿宋_GB2312" w:cs="仿宋_GB2312" w:hint="eastAsia"/>
          <w:sz w:val="32"/>
          <w:szCs w:val="32"/>
        </w:rPr>
        <w:t>提升</w:t>
      </w:r>
      <w:r>
        <w:rPr>
          <w:rFonts w:ascii="仿宋_GB2312" w:eastAsia="仿宋_GB2312" w:hAnsi="仿宋_GB2312" w:cs="仿宋_GB2312" w:hint="eastAsia"/>
          <w:sz w:val="32"/>
          <w:szCs w:val="32"/>
        </w:rPr>
        <w:t>粮食生产能力</w:t>
      </w:r>
      <w:r>
        <w:rPr>
          <w:rFonts w:ascii="仿宋_GB2312" w:eastAsia="仿宋_GB2312" w:hAnsi="仿宋_GB2312" w:cs="仿宋_GB2312" w:hint="eastAsia"/>
          <w:kern w:val="0"/>
          <w:sz w:val="32"/>
          <w:szCs w:val="32"/>
          <w:lang w:val="zh-CN"/>
        </w:rPr>
        <w:t>。到2025年，高标准农田达到180万亩以上，</w:t>
      </w:r>
      <w:r>
        <w:rPr>
          <w:rFonts w:ascii="仿宋_GB2312" w:eastAsia="仿宋_GB2312" w:hAnsi="仿宋_GB2312" w:cs="仿宋_GB2312" w:hint="eastAsia"/>
          <w:sz w:val="32"/>
          <w:szCs w:val="32"/>
        </w:rPr>
        <w:t>粮食总产量达到65亿斤水平。压紧压实“菜篮子”市长负责制，开展粮食节约行动。坚持粮食购销市场化，压实政策性粮食储备责任，完善粮食应急加工、储运、配送、供应网络，保障重要农产品供给安全。强化气象保障服务能力，发挥防灾减灾保障粮食安全的基础性作用。</w:t>
      </w:r>
    </w:p>
    <w:p w14:paraId="473B36DC" w14:textId="77777777" w:rsidR="00501569" w:rsidRDefault="00C74794">
      <w:pPr>
        <w:ind w:firstLineChars="200" w:firstLine="643"/>
        <w:jc w:val="left"/>
        <w:rPr>
          <w:rFonts w:ascii="仿宋_GB2312" w:eastAsia="仿宋_GB2312" w:hAnsi="仿宋_GB2312" w:cs="仿宋_GB2312"/>
          <w:kern w:val="0"/>
          <w:sz w:val="32"/>
          <w:szCs w:val="32"/>
        </w:rPr>
      </w:pPr>
      <w:r>
        <w:rPr>
          <w:rFonts w:ascii="仿宋_GB2312" w:eastAsia="仿宋_GB2312" w:hAnsi="仿宋_GB2312" w:cs="仿宋_GB2312" w:hint="eastAsia"/>
          <w:b/>
          <w:sz w:val="32"/>
          <w:szCs w:val="32"/>
        </w:rPr>
        <w:lastRenderedPageBreak/>
        <w:t>加强黑土地保护利用。</w:t>
      </w:r>
      <w:r>
        <w:rPr>
          <w:rFonts w:ascii="仿宋_GB2312" w:eastAsia="仿宋_GB2312" w:hAnsi="仿宋_GB2312" w:cs="仿宋_GB2312" w:hint="eastAsia"/>
          <w:sz w:val="32"/>
          <w:szCs w:val="32"/>
        </w:rPr>
        <w:t>深入实施黑土地保护工程，改善黑土地内在质量和生态环境</w:t>
      </w:r>
      <w:r>
        <w:rPr>
          <w:rFonts w:ascii="仿宋_GB2312" w:eastAsia="仿宋_GB2312" w:hAnsi="仿宋_GB2312" w:cs="仿宋_GB2312" w:hint="eastAsia"/>
          <w:kern w:val="0"/>
          <w:sz w:val="32"/>
          <w:szCs w:val="32"/>
        </w:rPr>
        <w:t>。</w:t>
      </w:r>
      <w:r>
        <w:rPr>
          <w:rFonts w:ascii="仿宋_GB2312" w:eastAsia="仿宋_GB2312" w:hAnsi="仿宋_GB2312" w:cs="仿宋_GB2312" w:hint="eastAsia"/>
          <w:sz w:val="32"/>
          <w:szCs w:val="32"/>
        </w:rPr>
        <w:t>推进黑土地保护利用试点项目建设，实施秸秆覆盖还田免耕、条带旋耕和秸秆覆盖还田少耕保护性耕作技术，推广测土配方施肥、生物防治、统防统治等绿色防控技术措施，深化秸秆综合利用和农膜回收利用。到2025年，秸秆综合利用率和农膜回收利用率力争达到80%以上。</w:t>
      </w:r>
    </w:p>
    <w:p w14:paraId="45B46785" w14:textId="77777777" w:rsidR="00501569" w:rsidRPr="005717BE" w:rsidRDefault="00C74794" w:rsidP="0045498C">
      <w:pPr>
        <w:spacing w:beforeLines="50" w:before="156" w:afterLines="50" w:after="156"/>
        <w:jc w:val="center"/>
        <w:outlineLvl w:val="1"/>
        <w:rPr>
          <w:rFonts w:ascii="仿宋_GB2312" w:hAnsi="仿宋_GB2312" w:cs="仿宋_GB2312"/>
          <w:b/>
          <w:bCs/>
          <w:sz w:val="32"/>
          <w:szCs w:val="32"/>
        </w:rPr>
      </w:pPr>
      <w:bookmarkStart w:id="48" w:name="_Toc9209"/>
      <w:r w:rsidRPr="005717BE">
        <w:rPr>
          <w:rFonts w:ascii="楷体_GB2312" w:eastAsia="楷体_GB2312" w:hAnsi="楷体_GB2312" w:cs="楷体_GB2312" w:hint="eastAsia"/>
          <w:b/>
          <w:bCs/>
          <w:sz w:val="32"/>
          <w:szCs w:val="32"/>
        </w:rPr>
        <w:t>第二节</w:t>
      </w:r>
      <w:r w:rsidRPr="005717BE">
        <w:rPr>
          <w:rFonts w:ascii="楷体_GB2312" w:eastAsia="楷体_GB2312" w:hAnsi="楷体_GB2312" w:cs="楷体_GB2312"/>
          <w:b/>
          <w:bCs/>
          <w:sz w:val="32"/>
          <w:szCs w:val="32"/>
        </w:rPr>
        <w:t xml:space="preserve"> </w:t>
      </w:r>
      <w:r w:rsidRPr="005717BE">
        <w:rPr>
          <w:rFonts w:ascii="楷体_GB2312" w:eastAsia="楷体_GB2312" w:hAnsi="楷体_GB2312" w:cs="楷体_GB2312" w:hint="eastAsia"/>
          <w:b/>
          <w:bCs/>
          <w:sz w:val="32"/>
          <w:szCs w:val="32"/>
        </w:rPr>
        <w:t>提升现代农业“三大体系”</w:t>
      </w:r>
      <w:bookmarkEnd w:id="47"/>
      <w:bookmarkEnd w:id="48"/>
    </w:p>
    <w:p w14:paraId="34F42BBD" w14:textId="77777777" w:rsidR="00501569" w:rsidRDefault="00C74794">
      <w:pPr>
        <w:widowControl/>
        <w:adjustRightInd w:val="0"/>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巩固粮食主产区地位，构建现代农业产业体系、生产体系和经营体系，提升农产品质量品牌效益，实施农业绿色发展路径，全面提高农业综合竞争力和质量效益。</w:t>
      </w:r>
    </w:p>
    <w:p w14:paraId="163EC402" w14:textId="77777777" w:rsidR="00501569" w:rsidRDefault="00C74794">
      <w:pPr>
        <w:ind w:firstLineChars="200" w:firstLine="643"/>
        <w:jc w:val="left"/>
        <w:rPr>
          <w:lang w:val="zh-CN"/>
        </w:rPr>
      </w:pPr>
      <w:r>
        <w:rPr>
          <w:rFonts w:ascii="仿宋_GB2312" w:eastAsia="仿宋_GB2312" w:hAnsi="仿宋_GB2312" w:cs="仿宋_GB2312" w:hint="eastAsia"/>
          <w:b/>
          <w:bCs/>
          <w:kern w:val="0"/>
          <w:sz w:val="32"/>
          <w:szCs w:val="32"/>
        </w:rPr>
        <w:t>优化现代农业产业体系</w:t>
      </w:r>
      <w:r>
        <w:rPr>
          <w:rFonts w:ascii="仿宋_GB2312" w:eastAsia="仿宋_GB2312" w:hAnsi="仿宋_GB2312" w:cs="仿宋_GB2312" w:hint="eastAsia"/>
          <w:b/>
          <w:kern w:val="0"/>
          <w:sz w:val="32"/>
          <w:szCs w:val="32"/>
        </w:rPr>
        <w:t>。</w:t>
      </w:r>
      <w:r>
        <w:rPr>
          <w:rFonts w:ascii="Times New Roman" w:eastAsia="仿宋_GB2312" w:hAnsi="Times New Roman" w:cs="Times New Roman"/>
          <w:sz w:val="32"/>
          <w:szCs w:val="32"/>
          <w:lang w:val="zh-CN"/>
        </w:rPr>
        <w:t>坚持稳粮</w:t>
      </w: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lang w:val="zh-CN"/>
        </w:rPr>
        <w:t>优经</w:t>
      </w: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lang w:val="zh-CN"/>
        </w:rPr>
        <w:t>扩饲</w:t>
      </w: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lang w:val="zh-CN"/>
        </w:rPr>
        <w:t>兴牧</w:t>
      </w: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lang w:val="zh-CN"/>
        </w:rPr>
        <w:t>强特，</w:t>
      </w:r>
      <w:r>
        <w:rPr>
          <w:rFonts w:ascii="仿宋_GB2312" w:eastAsia="仿宋_GB2312" w:hAnsi="仿宋_GB2312" w:cs="仿宋_GB2312" w:hint="eastAsia"/>
          <w:kern w:val="0"/>
          <w:sz w:val="32"/>
          <w:szCs w:val="32"/>
        </w:rPr>
        <w:t>加快</w:t>
      </w:r>
      <w:r>
        <w:rPr>
          <w:rFonts w:ascii="仿宋_GB2312" w:eastAsia="仿宋_GB2312" w:hAnsi="仿宋_GB2312" w:cs="仿宋_GB2312" w:hint="eastAsia"/>
          <w:kern w:val="0"/>
          <w:sz w:val="32"/>
          <w:szCs w:val="32"/>
          <w:lang w:val="zh-CN"/>
        </w:rPr>
        <w:t>发展农业高新技术产业、食品产业、畜牧产业、特色产业、玉米深加工产业等涉农产业，</w:t>
      </w:r>
      <w:r>
        <w:rPr>
          <w:rFonts w:ascii="Times New Roman" w:eastAsia="仿宋_GB2312" w:hAnsi="Times New Roman" w:cs="Times New Roman"/>
          <w:sz w:val="32"/>
          <w:szCs w:val="32"/>
          <w:lang w:val="zh-CN"/>
        </w:rPr>
        <w:t>构建农牧特加并举、一二三产业融合发展的现代农业产业体系，推进产业集群集聚发展</w:t>
      </w:r>
      <w:r>
        <w:rPr>
          <w:rFonts w:ascii="Times New Roman" w:eastAsia="仿宋_GB2312" w:hAnsi="Times New Roman" w:cs="Times New Roman" w:hint="eastAsia"/>
          <w:sz w:val="32"/>
          <w:szCs w:val="32"/>
          <w:lang w:val="zh-CN"/>
        </w:rPr>
        <w:t>。</w:t>
      </w:r>
      <w:r>
        <w:rPr>
          <w:rFonts w:ascii="仿宋_GB2312" w:eastAsia="仿宋_GB2312" w:hAnsi="仿宋_GB2312" w:cs="仿宋_GB2312" w:hint="eastAsia"/>
          <w:kern w:val="0"/>
          <w:sz w:val="32"/>
          <w:szCs w:val="32"/>
        </w:rPr>
        <w:t>发展壮大鲜食玉米产业，以迎新产业园为载体，以农嫂、德乐等企业为重点，建设鲜食玉米小镇，做强鲜食玉米、休闲食品、保健食品等细分优势行业。到2025年，鲜食玉米产值超过20亿元。推动设施园艺产业向种苗研发、产地初加工、精深加工方向延伸产业链。到2025年，棚膜园区达到100个，露地蔬菜达到10万亩。</w:t>
      </w:r>
      <w:r>
        <w:rPr>
          <w:rFonts w:ascii="仿宋_GB2312" w:eastAsia="仿宋_GB2312"/>
          <w:sz w:val="32"/>
          <w:szCs w:val="32"/>
        </w:rPr>
        <w:t>利用二十家子等乡镇的特色山地资源</w:t>
      </w:r>
      <w:r>
        <w:rPr>
          <w:rFonts w:ascii="仿宋_GB2312" w:eastAsia="仿宋_GB2312" w:hint="eastAsia"/>
          <w:sz w:val="32"/>
          <w:szCs w:val="32"/>
        </w:rPr>
        <w:t>，建设</w:t>
      </w:r>
      <w:r>
        <w:rPr>
          <w:rFonts w:ascii="仿宋_GB2312" w:eastAsia="仿宋_GB2312"/>
          <w:sz w:val="32"/>
          <w:szCs w:val="32"/>
        </w:rPr>
        <w:t>钙果、</w:t>
      </w:r>
      <w:r>
        <w:rPr>
          <w:rFonts w:ascii="仿宋_GB2312" w:eastAsia="仿宋_GB2312"/>
          <w:sz w:val="32"/>
          <w:szCs w:val="32"/>
        </w:rPr>
        <w:lastRenderedPageBreak/>
        <w:t>沙棘果种植</w:t>
      </w:r>
      <w:r>
        <w:rPr>
          <w:rFonts w:ascii="仿宋_GB2312" w:eastAsia="仿宋_GB2312" w:hint="eastAsia"/>
          <w:sz w:val="32"/>
          <w:szCs w:val="32"/>
        </w:rPr>
        <w:t>和</w:t>
      </w:r>
      <w:r>
        <w:rPr>
          <w:rFonts w:ascii="仿宋_GB2312" w:eastAsia="仿宋_GB2312"/>
          <w:sz w:val="32"/>
          <w:szCs w:val="32"/>
        </w:rPr>
        <w:t>生产加工基地。</w:t>
      </w:r>
      <w:r>
        <w:rPr>
          <w:rFonts w:ascii="仿宋_GB2312" w:eastAsia="仿宋_GB2312" w:hAnsi="仿宋_GB2312" w:cs="仿宋_GB2312" w:hint="eastAsia"/>
          <w:kern w:val="0"/>
          <w:sz w:val="32"/>
          <w:szCs w:val="32"/>
        </w:rPr>
        <w:t>稳健发展生猪产业，推广“公司+合作社（家庭农场）”模式，发展高标准牧业小区，创建国家级食源性优质安全畜产品基地和粮肉奶综合供应基地。到2025年，以生猪养殖为重点的牧业小区达到1000个。提升农产品加工业，推动玉米加工向聚乳酸、丙交酯等高附加值产品转型，推动牧业循环经济发展。到2025年，</w:t>
      </w:r>
      <w:r>
        <w:rPr>
          <w:rFonts w:ascii="仿宋_GB2312" w:eastAsia="仿宋_GB2312" w:hAnsi="仿宋_GB2312" w:cs="仿宋_GB2312" w:hint="eastAsia"/>
          <w:kern w:val="0"/>
          <w:sz w:val="32"/>
          <w:szCs w:val="32"/>
          <w:lang w:val="zh-CN"/>
        </w:rPr>
        <w:t>全市农林牧渔业总产值</w:t>
      </w:r>
      <w:r>
        <w:rPr>
          <w:rFonts w:ascii="仿宋_GB2312" w:eastAsia="仿宋_GB2312" w:hAnsi="仿宋_GB2312" w:cs="仿宋_GB2312" w:hint="eastAsia"/>
          <w:kern w:val="0"/>
          <w:sz w:val="32"/>
          <w:szCs w:val="32"/>
        </w:rPr>
        <w:t>力争达到</w:t>
      </w:r>
      <w:r>
        <w:rPr>
          <w:rFonts w:ascii="仿宋_GB2312" w:eastAsia="仿宋_GB2312" w:hAnsi="仿宋_GB2312" w:cs="仿宋_GB2312" w:hint="eastAsia"/>
          <w:kern w:val="0"/>
          <w:sz w:val="32"/>
          <w:szCs w:val="32"/>
          <w:lang w:val="zh-CN"/>
        </w:rPr>
        <w:t>150亿元以上、涉农产业总产值</w:t>
      </w:r>
      <w:r>
        <w:rPr>
          <w:rFonts w:ascii="仿宋_GB2312" w:eastAsia="仿宋_GB2312" w:hAnsi="仿宋_GB2312" w:cs="仿宋_GB2312" w:hint="eastAsia"/>
          <w:kern w:val="0"/>
          <w:sz w:val="32"/>
          <w:szCs w:val="32"/>
        </w:rPr>
        <w:t>力争</w:t>
      </w:r>
      <w:r>
        <w:rPr>
          <w:rFonts w:ascii="仿宋_GB2312" w:eastAsia="仿宋_GB2312" w:hAnsi="仿宋_GB2312" w:cs="仿宋_GB2312" w:hint="eastAsia"/>
          <w:kern w:val="0"/>
          <w:sz w:val="32"/>
          <w:szCs w:val="32"/>
          <w:lang w:val="zh-CN"/>
        </w:rPr>
        <w:t>达到500亿元以上。</w:t>
      </w:r>
    </w:p>
    <w:p w14:paraId="00F24C1C" w14:textId="77777777" w:rsidR="00501569" w:rsidRDefault="00C74794">
      <w:pPr>
        <w:ind w:firstLine="640"/>
        <w:rPr>
          <w:rFonts w:ascii="仿宋" w:eastAsia="仿宋" w:hAnsi="仿宋"/>
          <w:sz w:val="32"/>
          <w:szCs w:val="32"/>
        </w:rPr>
      </w:pPr>
      <w:r>
        <w:rPr>
          <w:rFonts w:ascii="仿宋_GB2312" w:eastAsia="仿宋_GB2312" w:hAnsi="仿宋_GB2312" w:cs="仿宋_GB2312" w:hint="eastAsia"/>
          <w:b/>
          <w:bCs/>
          <w:kern w:val="0"/>
          <w:sz w:val="32"/>
          <w:szCs w:val="32"/>
        </w:rPr>
        <w:t>巩固提高现代农业生产体系</w:t>
      </w:r>
      <w:r>
        <w:rPr>
          <w:rFonts w:ascii="仿宋_GB2312" w:eastAsia="仿宋_GB2312" w:hAnsi="仿宋_GB2312" w:cs="仿宋_GB2312" w:hint="eastAsia"/>
          <w:b/>
          <w:kern w:val="0"/>
          <w:sz w:val="32"/>
          <w:szCs w:val="32"/>
        </w:rPr>
        <w:t>。</w:t>
      </w:r>
      <w:r>
        <w:rPr>
          <w:rFonts w:ascii="仿宋_GB2312" w:eastAsia="仿宋_GB2312" w:hAnsi="仿宋_GB2312" w:cs="仿宋_GB2312" w:hint="eastAsia"/>
          <w:kern w:val="0"/>
          <w:sz w:val="32"/>
          <w:szCs w:val="32"/>
          <w:lang w:val="zh-CN"/>
        </w:rPr>
        <w:t>推进农业水利化，</w:t>
      </w:r>
      <w:r>
        <w:rPr>
          <w:rFonts w:ascii="仿宋_GB2312" w:eastAsia="仿宋_GB2312" w:hAnsi="仿宋_GB2312" w:cs="仿宋_GB2312" w:hint="eastAsia"/>
          <w:sz w:val="32"/>
          <w:szCs w:val="32"/>
        </w:rPr>
        <w:t>加快大中型灌区续建配套与节水技术改造，因地制宜兴建、完善中小型农田水利设施，完善现代农田灌排体系，在腹地区域，有序建设一批节水型、生态型灌区，实施田间配套。</w:t>
      </w:r>
      <w:r>
        <w:rPr>
          <w:rFonts w:ascii="仿宋_GB2312" w:eastAsia="仿宋_GB2312" w:hAnsi="仿宋_GB2312" w:cs="仿宋_GB2312" w:hint="eastAsia"/>
          <w:kern w:val="0"/>
          <w:sz w:val="32"/>
          <w:szCs w:val="32"/>
          <w:lang w:val="zh-CN"/>
        </w:rPr>
        <w:t>提升农业机械化水平，加快全程机械化示范区建设，实施粮食生产全程机械化整市推进，重点攻坚玉米机收、水稻机插、高效植保等关键环节，普及推广大型植保机械和深松整地机械，对从事农业生产的个人和经营组织实施“敞开普惠”的农机购置补贴政策。到2025年，全市农机总动力达到170万千瓦，主要粮食作物综合机械化水平达到96%。</w:t>
      </w:r>
      <w:r>
        <w:rPr>
          <w:rFonts w:ascii="仿宋_GB2312" w:eastAsia="仿宋_GB2312" w:hAnsi="仿宋_GB2312" w:cs="仿宋_GB2312" w:hint="eastAsia"/>
          <w:color w:val="000000"/>
          <w:sz w:val="32"/>
          <w:szCs w:val="32"/>
        </w:rPr>
        <w:t>推进农业信息化建设，充分发挥三农综合信息服务中心作用，建设数字农业信息服务平台，强化农业信息化产业带动能力。提高智慧气象服务能力，到2025年，智慧农业气象服务覆盖90%的新型农业经营主体，气象灾害预报预警信息公众覆盖率达到95%</w:t>
      </w:r>
      <w:r>
        <w:rPr>
          <w:rFonts w:ascii="仿宋_GB2312" w:eastAsia="仿宋_GB2312" w:hAnsi="仿宋_GB2312" w:cs="仿宋_GB2312" w:hint="eastAsia"/>
          <w:color w:val="000000"/>
          <w:sz w:val="32"/>
          <w:szCs w:val="32"/>
        </w:rPr>
        <w:lastRenderedPageBreak/>
        <w:t>以上。</w:t>
      </w:r>
    </w:p>
    <w:p w14:paraId="6A5E774E" w14:textId="77777777" w:rsidR="00501569" w:rsidRDefault="00C74794">
      <w:pPr>
        <w:ind w:firstLineChars="200" w:firstLine="643"/>
        <w:rPr>
          <w:rFonts w:ascii="仿宋_GB2312" w:eastAsia="仿宋_GB2312" w:hAnsi="仿宋_GB2312" w:cs="仿宋_GB2312"/>
          <w:color w:val="000000"/>
          <w:sz w:val="32"/>
          <w:szCs w:val="32"/>
        </w:rPr>
      </w:pPr>
      <w:bookmarkStart w:id="49" w:name="_Toc40456142"/>
      <w:r>
        <w:rPr>
          <w:rFonts w:ascii="仿宋_GB2312" w:eastAsia="仿宋_GB2312" w:hAnsi="仿宋_GB2312" w:cs="仿宋_GB2312" w:hint="eastAsia"/>
          <w:b/>
          <w:bCs/>
          <w:kern w:val="0"/>
          <w:sz w:val="32"/>
          <w:szCs w:val="32"/>
        </w:rPr>
        <w:t>创新发展现代农业经营体系</w:t>
      </w:r>
      <w:bookmarkEnd w:id="49"/>
      <w:r>
        <w:rPr>
          <w:rFonts w:ascii="仿宋_GB2312" w:eastAsia="仿宋_GB2312" w:hAnsi="仿宋_GB2312" w:cs="仿宋_GB2312" w:hint="eastAsia"/>
          <w:b/>
          <w:kern w:val="0"/>
          <w:sz w:val="32"/>
          <w:szCs w:val="32"/>
        </w:rPr>
        <w:t>。</w:t>
      </w:r>
      <w:r>
        <w:rPr>
          <w:rFonts w:ascii="仿宋_GB2312" w:eastAsia="仿宋_GB2312" w:hAnsi="仿宋_GB2312" w:cs="仿宋_GB2312" w:hint="eastAsia"/>
          <w:bCs/>
          <w:kern w:val="0"/>
          <w:sz w:val="32"/>
          <w:szCs w:val="32"/>
          <w:lang w:val="zh-CN"/>
        </w:rPr>
        <w:t>发展新型农村集体经济，</w:t>
      </w:r>
      <w:r>
        <w:rPr>
          <w:rFonts w:ascii="仿宋_GB2312" w:eastAsia="仿宋_GB2312" w:hAnsi="仿宋_GB2312" w:cs="仿宋_GB2312" w:hint="eastAsia"/>
          <w:kern w:val="0"/>
          <w:sz w:val="32"/>
          <w:szCs w:val="32"/>
          <w:lang w:val="zh-CN"/>
        </w:rPr>
        <w:t>集中力量开展新型经营主体培育专项行动，</w:t>
      </w:r>
      <w:r>
        <w:rPr>
          <w:rFonts w:ascii="仿宋_GB2312" w:eastAsia="仿宋_GB2312" w:hAnsi="仿宋_GB2312" w:cs="仿宋_GB2312" w:hint="eastAsia"/>
          <w:kern w:val="0"/>
          <w:sz w:val="32"/>
          <w:szCs w:val="32"/>
        </w:rPr>
        <w:t>壮大新型职业农民队伍。以特色农产品为重点，推进“一特一联社”创建。实施农民合作社质量提升行动和家庭农场培育计划，引导农户土地经营权合理流转</w:t>
      </w:r>
      <w:r>
        <w:rPr>
          <w:rFonts w:ascii="仿宋_GB2312" w:eastAsia="仿宋_GB2312" w:hAnsi="仿宋_GB2312" w:cs="仿宋_GB2312" w:hint="eastAsia"/>
          <w:kern w:val="0"/>
          <w:sz w:val="32"/>
          <w:szCs w:val="32"/>
          <w:lang w:val="zh-CN"/>
        </w:rPr>
        <w:t>，推进适度规模经营</w:t>
      </w:r>
      <w:r>
        <w:rPr>
          <w:rFonts w:ascii="仿宋_GB2312" w:eastAsia="仿宋_GB2312" w:hAnsi="仿宋_GB2312" w:cs="仿宋_GB2312" w:hint="eastAsia"/>
          <w:kern w:val="0"/>
          <w:sz w:val="32"/>
          <w:szCs w:val="32"/>
        </w:rPr>
        <w:t>。支持组建农民合作社联合社，培育发展农业产业化联合体，鼓励引导建立产业协会和产业联盟，促进龙头企业和新型经营农业主体数量增加、质量提升。</w:t>
      </w:r>
      <w:r>
        <w:rPr>
          <w:rFonts w:ascii="仿宋_GB2312" w:eastAsia="仿宋_GB2312" w:hAnsi="仿宋_GB2312" w:cs="仿宋_GB2312" w:hint="eastAsia"/>
          <w:color w:val="000000"/>
          <w:sz w:val="32"/>
          <w:szCs w:val="32"/>
        </w:rPr>
        <w:t>到2025年，市级农民专业合作社示范社和示范家庭农场不低于全市总数的10%，省级以上农民专业合作社示范社和示范家庭农场不低于全市总数的3%，创建省级农业产业化联合体3个以上。加强农民职业技能培训，加大对农业转移人口的职业技能培训力度，推进农村实用人才培养计划和农民工向农技工转型服务计划，分类组织实施各项培训活动，每年培育新型职业农民不低于2000人。</w:t>
      </w:r>
    </w:p>
    <w:p w14:paraId="4513E0D3"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打造优质农产品品牌。</w:t>
      </w:r>
      <w:r>
        <w:rPr>
          <w:rFonts w:ascii="仿宋_GB2312" w:eastAsia="仿宋_GB2312" w:hAnsi="仿宋_GB2312" w:cs="仿宋_GB2312" w:hint="eastAsia"/>
          <w:color w:val="000000"/>
          <w:sz w:val="32"/>
          <w:szCs w:val="32"/>
        </w:rPr>
        <w:t>加快形成以区域公用品牌为核心、企业品牌为支撑、产品品牌为基础的农业品牌体系。</w:t>
      </w:r>
      <w:r>
        <w:rPr>
          <w:rFonts w:ascii="仿宋_GB2312" w:eastAsia="仿宋_GB2312" w:hAnsi="仿宋_GB2312" w:cs="仿宋_GB2312" w:hint="eastAsia"/>
          <w:sz w:val="32"/>
          <w:szCs w:val="32"/>
        </w:rPr>
        <w:t>加大玉米、大米、蔬菜、水果、生猪等产业品牌的资源整合，</w:t>
      </w:r>
      <w:r>
        <w:rPr>
          <w:rFonts w:ascii="仿宋_GB2312" w:eastAsia="仿宋_GB2312" w:hAnsi="仿宋_GB2312" w:cs="仿宋_GB2312" w:hint="eastAsia"/>
          <w:color w:val="000000"/>
          <w:sz w:val="32"/>
          <w:szCs w:val="32"/>
        </w:rPr>
        <w:t>集中打造鲜食玉米、绿色有机园艺特色产品等农产品区域公用品牌。</w:t>
      </w:r>
      <w:r>
        <w:rPr>
          <w:rFonts w:ascii="仿宋_GB2312" w:eastAsia="仿宋_GB2312" w:hAnsi="仿宋_GB2312" w:cs="仿宋_GB2312" w:hint="eastAsia"/>
          <w:sz w:val="32"/>
          <w:szCs w:val="32"/>
        </w:rPr>
        <w:t>加强品牌营销推介，</w:t>
      </w:r>
      <w:r>
        <w:rPr>
          <w:rFonts w:ascii="仿宋_GB2312" w:eastAsia="仿宋_GB2312" w:hAnsi="仿宋_GB2312" w:cs="仿宋_GB2312" w:hint="eastAsia"/>
          <w:color w:val="000000"/>
          <w:sz w:val="32"/>
          <w:szCs w:val="32"/>
        </w:rPr>
        <w:t>鼓励和引导龙头企业、农民专业合作社、家庭农场等新型经营主体开展品牌创建。提升“中国玉米之乡”品牌知名度，以玉米产业博览会、农民丰收节等</w:t>
      </w:r>
      <w:r>
        <w:rPr>
          <w:rFonts w:ascii="仿宋_GB2312" w:eastAsia="仿宋_GB2312" w:hAnsi="仿宋_GB2312" w:cs="仿宋_GB2312" w:hint="eastAsia"/>
          <w:color w:val="000000"/>
          <w:sz w:val="32"/>
          <w:szCs w:val="32"/>
        </w:rPr>
        <w:lastRenderedPageBreak/>
        <w:t>各类展会为平台，宣传展示公主岭品牌。</w:t>
      </w:r>
      <w:r>
        <w:rPr>
          <w:rFonts w:ascii="仿宋_GB2312" w:eastAsia="仿宋_GB2312" w:hAnsi="仿宋_GB2312" w:cs="仿宋_GB2312" w:hint="eastAsia"/>
          <w:sz w:val="32"/>
          <w:szCs w:val="32"/>
        </w:rPr>
        <w:t>大力发展“两品一标”农产品，</w:t>
      </w:r>
      <w:r>
        <w:rPr>
          <w:rFonts w:ascii="仿宋_GB2312" w:eastAsia="仿宋_GB2312" w:hAnsi="仿宋_GB2312" w:cs="仿宋_GB2312" w:hint="eastAsia"/>
          <w:kern w:val="0"/>
          <w:sz w:val="32"/>
          <w:szCs w:val="32"/>
        </w:rPr>
        <w:t>提升“公主岭玉米”等区域公共品牌以及玉米、稻米、油豆角、西瓜和甜瓜等国家地理标志产品影响力。</w:t>
      </w:r>
      <w:r>
        <w:rPr>
          <w:rFonts w:ascii="仿宋_GB2312" w:eastAsia="仿宋_GB2312" w:hAnsi="仿宋_GB2312" w:cs="仿宋_GB2312" w:hint="eastAsia"/>
          <w:sz w:val="32"/>
          <w:szCs w:val="32"/>
        </w:rPr>
        <w:t>到2025年，力争打造国家地理标志农产品证明商标2个以上。</w:t>
      </w:r>
    </w:p>
    <w:p w14:paraId="26A4DCC4"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kern w:val="0"/>
          <w:sz w:val="32"/>
          <w:szCs w:val="32"/>
        </w:rPr>
        <w:t>坚持农村基本经营制度</w:t>
      </w:r>
      <w:r>
        <w:rPr>
          <w:rFonts w:ascii="仿宋_GB2312" w:eastAsia="仿宋_GB2312" w:hAnsi="仿宋_GB2312" w:cs="仿宋_GB2312" w:hint="eastAsia"/>
          <w:kern w:val="0"/>
          <w:sz w:val="32"/>
          <w:szCs w:val="32"/>
        </w:rPr>
        <w:t>。衔接落实</w:t>
      </w:r>
      <w:r>
        <w:rPr>
          <w:rFonts w:ascii="仿宋_GB2312" w:eastAsia="仿宋_GB2312" w:hAnsi="仿宋_GB2312" w:cs="仿宋_GB2312" w:hint="eastAsia"/>
          <w:sz w:val="32"/>
          <w:szCs w:val="32"/>
        </w:rPr>
        <w:t>第二轮土地承包到期后再延长30年政策</w:t>
      </w:r>
      <w:r>
        <w:rPr>
          <w:rFonts w:ascii="仿宋_GB2312" w:eastAsia="仿宋_GB2312" w:hAnsi="仿宋_GB2312" w:cs="仿宋_GB2312" w:hint="eastAsia"/>
          <w:kern w:val="0"/>
          <w:sz w:val="32"/>
          <w:szCs w:val="32"/>
        </w:rPr>
        <w:t>，落实</w:t>
      </w:r>
      <w:r>
        <w:rPr>
          <w:rFonts w:ascii="仿宋_GB2312" w:eastAsia="仿宋_GB2312" w:hAnsi="仿宋_GB2312" w:cs="仿宋_GB2312" w:hint="eastAsia"/>
          <w:sz w:val="32"/>
          <w:szCs w:val="32"/>
        </w:rPr>
        <w:t>农村承包地</w:t>
      </w:r>
      <w:r>
        <w:rPr>
          <w:rFonts w:ascii="仿宋_GB2312" w:eastAsia="仿宋_GB2312" w:hAnsi="仿宋_GB2312" w:cs="仿宋_GB2312" w:hint="eastAsia"/>
          <w:kern w:val="0"/>
          <w:sz w:val="32"/>
          <w:szCs w:val="32"/>
        </w:rPr>
        <w:t>所有权、承包权、经营权“三权分置”制度、集体经营性建设用地入市流转制度、集体林权制度，</w:t>
      </w:r>
      <w:r>
        <w:rPr>
          <w:rFonts w:ascii="仿宋_GB2312" w:eastAsia="仿宋_GB2312" w:hAnsi="仿宋_GB2312" w:cs="仿宋_GB2312" w:hint="eastAsia"/>
          <w:sz w:val="32"/>
          <w:szCs w:val="32"/>
        </w:rPr>
        <w:t>深入推进农村集体产权制度改革。实施农村</w:t>
      </w:r>
      <w:r>
        <w:rPr>
          <w:rFonts w:ascii="Times New Roman" w:eastAsia="仿宋_GB2312" w:hAnsi="Times New Roman"/>
          <w:sz w:val="32"/>
          <w:szCs w:val="32"/>
          <w:lang w:val="zh-CN"/>
        </w:rPr>
        <w:t>宅基地制度改革试点</w:t>
      </w:r>
      <w:r>
        <w:rPr>
          <w:rFonts w:eastAsia="仿宋_GB2312" w:hint="eastAsia"/>
          <w:sz w:val="32"/>
          <w:szCs w:val="32"/>
        </w:rPr>
        <w:t>，探索宅基地所有权、资格权、使用权分置实现形式。保障进程落户农民土地承包权、宅基地使用权、集体收益分配权，鼓励依法资源有偿转让。</w:t>
      </w:r>
      <w:r>
        <w:rPr>
          <w:rFonts w:ascii="仿宋_GB2312" w:eastAsia="仿宋_GB2312" w:hAnsi="仿宋_GB2312" w:cs="仿宋_GB2312" w:hint="eastAsia"/>
          <w:sz w:val="32"/>
          <w:szCs w:val="32"/>
        </w:rPr>
        <w:t>深化农村金融改革，搭建农村产权交易中心和若干个乡镇(街道)产权交易服务站，形成市、乡、村三级农村产权交易市场体系，提升“三农”服务质效。推进承包土地经营权抵押融资县域全覆盖</w:t>
      </w:r>
      <w:r>
        <w:rPr>
          <w:rFonts w:ascii="仿宋_GB2312" w:eastAsia="仿宋_GB2312" w:hAnsi="仿宋_GB2312" w:cs="仿宋_GB2312" w:hint="eastAsia"/>
          <w:sz w:val="32"/>
          <w:szCs w:val="32"/>
          <w:lang w:val="zh-CN"/>
        </w:rPr>
        <w:t>试点，探索承包土地经营权抵押担保贷款。</w:t>
      </w:r>
    </w:p>
    <w:p w14:paraId="1DB60413" w14:textId="77777777" w:rsidR="00501569" w:rsidRPr="005717BE" w:rsidRDefault="00C74794" w:rsidP="0045498C">
      <w:pPr>
        <w:keepNext/>
        <w:keepLines/>
        <w:adjustRightInd w:val="0"/>
        <w:spacing w:beforeLines="50" w:before="156" w:afterLines="50" w:after="156"/>
        <w:jc w:val="center"/>
        <w:outlineLvl w:val="1"/>
        <w:rPr>
          <w:rFonts w:ascii="楷体_GB2312" w:eastAsia="楷体_GB2312" w:hAnsi="楷体_GB2312" w:cs="楷体_GB2312"/>
          <w:b/>
          <w:bCs/>
          <w:sz w:val="32"/>
          <w:szCs w:val="32"/>
        </w:rPr>
      </w:pPr>
      <w:bookmarkStart w:id="50" w:name="_Toc40456143"/>
      <w:bookmarkStart w:id="51" w:name="_Toc44843816"/>
      <w:bookmarkStart w:id="52" w:name="_Toc9270"/>
      <w:r w:rsidRPr="005717BE">
        <w:rPr>
          <w:rFonts w:ascii="楷体_GB2312" w:eastAsia="楷体_GB2312" w:hAnsi="楷体_GB2312" w:cs="楷体_GB2312" w:hint="eastAsia"/>
          <w:b/>
          <w:bCs/>
          <w:sz w:val="32"/>
          <w:szCs w:val="32"/>
        </w:rPr>
        <w:t>第三节 加快农村一二三产业融合</w:t>
      </w:r>
      <w:bookmarkEnd w:id="50"/>
      <w:r w:rsidRPr="005717BE">
        <w:rPr>
          <w:rFonts w:ascii="楷体_GB2312" w:eastAsia="楷体_GB2312" w:hAnsi="楷体_GB2312" w:cs="楷体_GB2312" w:hint="eastAsia"/>
          <w:b/>
          <w:bCs/>
          <w:sz w:val="32"/>
          <w:szCs w:val="32"/>
        </w:rPr>
        <w:t>发展</w:t>
      </w:r>
      <w:bookmarkEnd w:id="51"/>
      <w:bookmarkEnd w:id="52"/>
    </w:p>
    <w:p w14:paraId="6AC72192" w14:textId="77777777" w:rsidR="00501569" w:rsidRDefault="00C74794">
      <w:pPr>
        <w:widowControl/>
        <w:adjustRightInd w:val="0"/>
        <w:ind w:firstLineChars="200" w:firstLine="640"/>
        <w:jc w:val="left"/>
        <w:rPr>
          <w:rFonts w:ascii="仿宋_GB2312" w:eastAsia="仿宋_GB2312" w:hAnsi="仿宋_GB2312" w:cs="仿宋_GB2312"/>
          <w:bCs/>
          <w:color w:val="000000"/>
          <w:kern w:val="0"/>
          <w:sz w:val="32"/>
          <w:szCs w:val="32"/>
        </w:rPr>
      </w:pPr>
      <w:r>
        <w:rPr>
          <w:rFonts w:ascii="仿宋_GB2312" w:eastAsia="仿宋_GB2312" w:hAnsi="仿宋_GB2312" w:cs="仿宋_GB2312" w:hint="eastAsia"/>
          <w:bCs/>
          <w:color w:val="000000"/>
          <w:kern w:val="0"/>
          <w:sz w:val="32"/>
          <w:szCs w:val="32"/>
        </w:rPr>
        <w:t>按照“服务都市、富裕农民、优化生态、繁荣农村”功能定位，全面推进农村三产融合进程，形成结构优化、产城互动、功能互促的都市型现代农业发展新格局。</w:t>
      </w:r>
    </w:p>
    <w:p w14:paraId="745FC19E" w14:textId="77777777" w:rsidR="00501569" w:rsidRDefault="00C74794">
      <w:pPr>
        <w:widowControl/>
        <w:adjustRightInd w:val="0"/>
        <w:ind w:firstLineChars="200" w:firstLine="643"/>
        <w:jc w:val="left"/>
        <w:rPr>
          <w:rFonts w:ascii="仿宋_GB2312" w:eastAsia="仿宋_GB2312" w:hAnsi="仿宋_GB2312" w:cs="仿宋_GB2312"/>
          <w:kern w:val="0"/>
          <w:sz w:val="32"/>
          <w:szCs w:val="32"/>
        </w:rPr>
      </w:pPr>
      <w:bookmarkStart w:id="53" w:name="_Toc40456144"/>
      <w:r>
        <w:rPr>
          <w:rFonts w:ascii="仿宋_GB2312" w:eastAsia="仿宋_GB2312" w:hAnsi="仿宋_GB2312" w:cs="仿宋_GB2312" w:hint="eastAsia"/>
          <w:b/>
          <w:bCs/>
          <w:kern w:val="0"/>
          <w:sz w:val="32"/>
          <w:szCs w:val="32"/>
        </w:rPr>
        <w:t>打造融合型都市农业产业圈</w:t>
      </w:r>
      <w:bookmarkEnd w:id="53"/>
      <w:r>
        <w:rPr>
          <w:rFonts w:ascii="仿宋_GB2312" w:eastAsia="仿宋_GB2312" w:hAnsi="仿宋_GB2312" w:cs="仿宋_GB2312" w:hint="eastAsia"/>
          <w:b/>
          <w:kern w:val="0"/>
          <w:sz w:val="32"/>
          <w:szCs w:val="32"/>
        </w:rPr>
        <w:t>。</w:t>
      </w:r>
      <w:r>
        <w:rPr>
          <w:rFonts w:ascii="仿宋_GB2312" w:eastAsia="仿宋_GB2312" w:hAnsi="仿宋_GB2312" w:cs="仿宋_GB2312" w:hint="eastAsia"/>
          <w:kern w:val="0"/>
          <w:sz w:val="32"/>
          <w:szCs w:val="32"/>
        </w:rPr>
        <w:t>坚持产业园、科技园、创业园和融合园“四园同建”，推进农业与加工、旅游、文化、教育、康养等深度融合，建设一批都市农业发展新</w:t>
      </w:r>
      <w:r>
        <w:rPr>
          <w:rFonts w:ascii="仿宋_GB2312" w:eastAsia="仿宋_GB2312" w:hAnsi="仿宋_GB2312" w:cs="仿宋_GB2312" w:hint="eastAsia"/>
          <w:kern w:val="0"/>
          <w:sz w:val="32"/>
          <w:szCs w:val="32"/>
        </w:rPr>
        <w:lastRenderedPageBreak/>
        <w:t>载体。引进长春农副产品总部企业在公主岭设立农鲜产品研发生产、深加工基地及物流基地。建设公主岭知名农产品公共品牌长春门店网点，发展预订平台、中央厨房等新业态。深化“互联网＋农业”工程，健全市县两级电商服务平台及配套流通服务网络，加快物联网等现代信息技术与传统农业融合发展。</w:t>
      </w:r>
    </w:p>
    <w:p w14:paraId="1893B3AD" w14:textId="77777777" w:rsidR="00501569" w:rsidRDefault="00C74794">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kern w:val="0"/>
          <w:sz w:val="32"/>
          <w:szCs w:val="32"/>
        </w:rPr>
        <w:t>壮大三产融合型龙头企业</w:t>
      </w:r>
      <w:r>
        <w:rPr>
          <w:rFonts w:ascii="仿宋_GB2312" w:eastAsia="仿宋_GB2312" w:hAnsi="仿宋_GB2312" w:cs="仿宋_GB2312" w:hint="eastAsia"/>
          <w:b/>
          <w:bCs/>
          <w:color w:val="000000"/>
          <w:sz w:val="32"/>
          <w:szCs w:val="32"/>
        </w:rPr>
        <w:t>。</w:t>
      </w:r>
      <w:r>
        <w:rPr>
          <w:rFonts w:ascii="仿宋_GB2312" w:eastAsia="仿宋_GB2312" w:hAnsi="仿宋_GB2312" w:cs="仿宋_GB2312" w:hint="eastAsia"/>
          <w:color w:val="000000"/>
          <w:sz w:val="32"/>
          <w:szCs w:val="32"/>
        </w:rPr>
        <w:t>突出龙头企业对农业产业化的支撑和引领作用，实施领军型龙头企业提升计划。加大招商引资力度，吸引国内乃至国际行业领军企业投资兴业。引导社会资本投资农业产业化项目，支持农业龙头企业技术创新、产品研发、装备升级和基地建设。落实好鼓励各级农业产业化龙头企业上市融资、股份合作发展各项政策。到2025年，培育优势产业领军型龙头企业5—10户。</w:t>
      </w:r>
    </w:p>
    <w:p w14:paraId="7560AF43" w14:textId="77777777" w:rsidR="00501569" w:rsidRDefault="00C74794" w:rsidP="00F424CD">
      <w:pPr>
        <w:ind w:firstLineChars="200" w:firstLine="643"/>
        <w:rPr>
          <w:rFonts w:ascii="仿宋_GB2312" w:eastAsia="仿宋_GB2312" w:hAnsi="仿宋_GB2312" w:cs="仿宋_GB2312"/>
          <w:sz w:val="32"/>
          <w:szCs w:val="32"/>
          <w:highlight w:val="yellow"/>
        </w:rPr>
      </w:pPr>
      <w:r>
        <w:rPr>
          <w:rFonts w:ascii="仿宋_GB2312" w:eastAsia="仿宋_GB2312" w:hAnsi="仿宋_GB2312" w:cs="仿宋_GB2312" w:hint="eastAsia"/>
          <w:b/>
          <w:sz w:val="32"/>
          <w:szCs w:val="32"/>
        </w:rPr>
        <w:t>培育发展农村融合发展新业态。</w:t>
      </w:r>
      <w:r>
        <w:rPr>
          <w:rFonts w:ascii="仿宋_GB2312" w:eastAsia="仿宋_GB2312" w:hAnsi="仿宋_GB2312" w:cs="仿宋_GB2312" w:hint="eastAsia"/>
          <w:sz w:val="32"/>
          <w:szCs w:val="32"/>
          <w:lang w:val="zh-CN"/>
        </w:rPr>
        <w:t>实施电子商务进农村综合示范工程和“快递下乡”工程，</w:t>
      </w:r>
      <w:r>
        <w:rPr>
          <w:rFonts w:eastAsia="仿宋_GB2312" w:hint="eastAsia"/>
          <w:sz w:val="32"/>
          <w:szCs w:val="32"/>
        </w:rPr>
        <w:t>推进</w:t>
      </w:r>
      <w:r>
        <w:rPr>
          <w:rFonts w:ascii="仿宋_GB2312" w:eastAsia="仿宋_GB2312" w:hAnsi="仿宋_GB2312" w:cs="仿宋_GB2312" w:hint="eastAsia"/>
          <w:sz w:val="32"/>
          <w:szCs w:val="32"/>
        </w:rPr>
        <w:t>实现农村电商公共服务体系县、乡、村三级全覆盖。拓展农业多种功能业态，培育推进“一村一品”，组建休闲农业产业联盟，加快农业、林业与现代信息技术、文化教育、休闲旅游、养老健康等产业融合。支持农村集体经济组织创办乡村旅游合作社，打造北方休闲农业集聚地。</w:t>
      </w:r>
      <w:r>
        <w:rPr>
          <w:rFonts w:ascii="仿宋_GB2312" w:eastAsia="仿宋_GB2312" w:hAnsi="仿宋_GB2312" w:cs="仿宋_GB2312" w:hint="eastAsia"/>
          <w:bCs/>
          <w:sz w:val="32"/>
          <w:szCs w:val="32"/>
        </w:rPr>
        <w:t>打造农村一二三产业融合新载体，支持</w:t>
      </w:r>
      <w:r>
        <w:rPr>
          <w:rFonts w:ascii="仿宋_GB2312" w:eastAsia="仿宋_GB2312" w:hAnsi="仿宋_GB2312" w:cs="仿宋_GB2312" w:hint="eastAsia"/>
          <w:sz w:val="32"/>
          <w:szCs w:val="32"/>
        </w:rPr>
        <w:t>“生产+加工+科技”现代农业科技园区、产业园区建设，创建</w:t>
      </w:r>
      <w:r>
        <w:rPr>
          <w:rFonts w:ascii="仿宋_GB2312" w:eastAsia="仿宋_GB2312" w:hAnsi="仿宋_GB2312" w:cs="仿宋_GB2312" w:hint="eastAsia"/>
          <w:bCs/>
          <w:sz w:val="32"/>
          <w:szCs w:val="32"/>
        </w:rPr>
        <w:t>一二三产业融合示范园区和农业现代化示范区。</w:t>
      </w:r>
    </w:p>
    <w:p w14:paraId="19309F1E" w14:textId="77777777" w:rsidR="00501569" w:rsidRPr="005717BE" w:rsidRDefault="00C74794" w:rsidP="0045498C">
      <w:pPr>
        <w:keepNext/>
        <w:keepLines/>
        <w:adjustRightInd w:val="0"/>
        <w:spacing w:beforeLines="50" w:before="156" w:afterLines="50" w:after="156"/>
        <w:jc w:val="center"/>
        <w:outlineLvl w:val="1"/>
        <w:rPr>
          <w:rFonts w:ascii="楷体_GB2312" w:eastAsia="楷体_GB2312" w:hAnsi="楷体_GB2312" w:cs="楷体_GB2312"/>
          <w:b/>
          <w:bCs/>
          <w:sz w:val="32"/>
          <w:szCs w:val="32"/>
        </w:rPr>
      </w:pPr>
      <w:bookmarkStart w:id="54" w:name="_Toc44843817"/>
      <w:bookmarkStart w:id="55" w:name="_Toc23828"/>
      <w:r w:rsidRPr="005717BE">
        <w:rPr>
          <w:rFonts w:ascii="楷体_GB2312" w:eastAsia="楷体_GB2312" w:hAnsi="楷体_GB2312" w:cs="楷体_GB2312" w:hint="eastAsia"/>
          <w:b/>
          <w:bCs/>
          <w:sz w:val="32"/>
          <w:szCs w:val="32"/>
        </w:rPr>
        <w:lastRenderedPageBreak/>
        <w:t xml:space="preserve">第四节 </w:t>
      </w:r>
      <w:bookmarkEnd w:id="54"/>
      <w:r w:rsidRPr="005717BE">
        <w:rPr>
          <w:rFonts w:ascii="楷体_GB2312" w:eastAsia="楷体_GB2312" w:hAnsi="楷体_GB2312" w:cs="楷体_GB2312" w:hint="eastAsia"/>
          <w:b/>
          <w:bCs/>
          <w:sz w:val="32"/>
          <w:szCs w:val="32"/>
        </w:rPr>
        <w:t>实施乡村建设行动</w:t>
      </w:r>
      <w:bookmarkEnd w:id="55"/>
    </w:p>
    <w:p w14:paraId="79550C73" w14:textId="77777777" w:rsidR="00501569" w:rsidRDefault="00C74794" w:rsidP="00F424CD">
      <w:pPr>
        <w:adjustRightInd w:val="0"/>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val="zh-CN"/>
        </w:rPr>
        <w:t>坚持分类推进，精准施策，以农村厕所革命、</w:t>
      </w:r>
      <w:r>
        <w:rPr>
          <w:rFonts w:ascii="仿宋_GB2312" w:eastAsia="仿宋_GB2312" w:hAnsi="仿宋_GB2312" w:cs="仿宋_GB2312" w:hint="eastAsia"/>
          <w:kern w:val="0"/>
          <w:sz w:val="32"/>
          <w:szCs w:val="32"/>
        </w:rPr>
        <w:t>垃圾转运、污水处理、</w:t>
      </w:r>
      <w:r>
        <w:rPr>
          <w:rFonts w:ascii="仿宋_GB2312" w:eastAsia="仿宋_GB2312" w:hAnsi="仿宋_GB2312" w:cs="仿宋_GB2312" w:hint="eastAsia"/>
          <w:kern w:val="0"/>
          <w:sz w:val="32"/>
          <w:szCs w:val="32"/>
          <w:lang w:val="zh-CN"/>
        </w:rPr>
        <w:t>饮用水保护和村容村貌提升为主攻方向，</w:t>
      </w:r>
      <w:r>
        <w:rPr>
          <w:rFonts w:ascii="仿宋_GB2312" w:eastAsia="仿宋_GB2312" w:hAnsi="仿宋_GB2312" w:cs="仿宋_GB2312" w:hint="eastAsia"/>
          <w:kern w:val="0"/>
          <w:sz w:val="32"/>
          <w:szCs w:val="32"/>
        </w:rPr>
        <w:t>全面提升村容村貌，建设美丽宜居乡村。</w:t>
      </w:r>
    </w:p>
    <w:p w14:paraId="4ECB8DB7" w14:textId="77777777" w:rsidR="00501569" w:rsidRDefault="00C74794">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kern w:val="0"/>
          <w:sz w:val="32"/>
          <w:szCs w:val="32"/>
        </w:rPr>
        <w:t>持续改善人居环境。</w:t>
      </w:r>
      <w:r>
        <w:rPr>
          <w:rFonts w:ascii="仿宋_GB2312" w:eastAsia="仿宋_GB2312" w:hAnsi="仿宋_GB2312" w:cs="仿宋_GB2312" w:hint="eastAsia"/>
          <w:color w:val="000000"/>
          <w:sz w:val="32"/>
          <w:szCs w:val="32"/>
        </w:rPr>
        <w:t>科学规划村庄建筑布局，加大村屯公共空间和庭院环境整治力度，清理乱搭乱建、乱堆乱放，实现由“村村干净”向“家家干净”转变。</w:t>
      </w:r>
      <w:r>
        <w:rPr>
          <w:rFonts w:ascii="仿宋_GB2312" w:eastAsia="仿宋_GB2312" w:hAnsi="仿宋_GB2312" w:cs="仿宋_GB2312" w:hint="eastAsia"/>
          <w:kern w:val="0"/>
          <w:sz w:val="32"/>
          <w:szCs w:val="32"/>
        </w:rPr>
        <w:t>重点打造60个左右中心村，</w:t>
      </w:r>
      <w:r>
        <w:rPr>
          <w:rFonts w:ascii="仿宋_GB2312" w:eastAsia="仿宋_GB2312" w:hAnsi="仿宋_GB2312" w:cs="仿宋_GB2312" w:hint="eastAsia"/>
          <w:color w:val="000000"/>
          <w:sz w:val="32"/>
          <w:szCs w:val="32"/>
        </w:rPr>
        <w:t>把中心村建设成生态宜居的美丽乡村，综合提升田水路林村风貌。大力实施村屯绿化亮化美化工程，到2025年，全市60%以上的村屯绿化覆盖率达到30%以上。常态化开展村庄清洁行动，重点要抓好村屯卫生保洁、生活垃圾治理、农业生产废弃物清理，形成完善的生活垃圾收储运体系。深化厕所革命，坚持宜水则水、宜旱则旱，加大农村户用卫生厕所改造投入力度。到2025年，厕所改造全部达到国家规定的三类地区标准，农户卫生厕所使用率达到90%以上。加大农村污水治理力度，完善污水收集系统和运营机制，实现建制镇污水处理设施全覆盖</w:t>
      </w:r>
      <w:r>
        <w:rPr>
          <w:rFonts w:ascii="仿宋_GB2312" w:eastAsia="仿宋_GB2312" w:hAnsi="仿宋_GB2312" w:cs="仿宋_GB2312" w:hint="eastAsia"/>
          <w:kern w:val="0"/>
          <w:sz w:val="32"/>
          <w:szCs w:val="32"/>
        </w:rPr>
        <w:t>，</w:t>
      </w:r>
      <w:r>
        <w:rPr>
          <w:rFonts w:ascii="仿宋_GB2312" w:eastAsia="仿宋_GB2312" w:hAnsi="仿宋_GB2312" w:cs="仿宋_GB2312" w:hint="eastAsia"/>
          <w:color w:val="000000"/>
          <w:sz w:val="32"/>
          <w:szCs w:val="32"/>
        </w:rPr>
        <w:t>完成重点镇和重点流域常住人口1万人以上乡镇生活污水治理任务。力争每年创建省级美丽乡村5个、人居环境整治A级以上示范村210个、美丽庭院500户、干净人家2000户。</w:t>
      </w:r>
    </w:p>
    <w:p w14:paraId="72087BB8" w14:textId="77777777" w:rsidR="00501569" w:rsidRDefault="00C74794">
      <w:pPr>
        <w:widowControl/>
        <w:adjustRightInd w:val="0"/>
        <w:ind w:firstLineChars="200" w:firstLine="643"/>
        <w:rPr>
          <w:rFonts w:ascii="仿宋_GB2312" w:hAnsi="仿宋_GB2312" w:cs="仿宋_GB2312"/>
          <w:kern w:val="0"/>
          <w:sz w:val="32"/>
          <w:szCs w:val="32"/>
        </w:rPr>
      </w:pPr>
      <w:r>
        <w:rPr>
          <w:rFonts w:ascii="仿宋_GB2312" w:eastAsia="仿宋_GB2312" w:hAnsi="仿宋_GB2312" w:cs="仿宋_GB2312" w:hint="eastAsia"/>
          <w:b/>
          <w:bCs/>
          <w:kern w:val="0"/>
          <w:sz w:val="32"/>
          <w:szCs w:val="32"/>
        </w:rPr>
        <w:t>升级农村基础设施</w:t>
      </w:r>
      <w:r>
        <w:rPr>
          <w:rFonts w:ascii="仿宋_GB2312" w:eastAsia="仿宋_GB2312" w:hAnsi="仿宋_GB2312" w:cs="仿宋_GB2312" w:hint="eastAsia"/>
          <w:kern w:val="0"/>
          <w:sz w:val="32"/>
          <w:szCs w:val="32"/>
        </w:rPr>
        <w:t>。推进“四好农村路”建设，实施村屯硬化路畅通工程，维护改造年久失修公路及桥涵，加强各</w:t>
      </w:r>
      <w:r>
        <w:rPr>
          <w:rFonts w:ascii="仿宋_GB2312" w:eastAsia="仿宋_GB2312" w:hAnsi="仿宋_GB2312" w:cs="仿宋_GB2312" w:hint="eastAsia"/>
          <w:kern w:val="0"/>
          <w:sz w:val="32"/>
          <w:szCs w:val="32"/>
        </w:rPr>
        <w:lastRenderedPageBreak/>
        <w:t>类公路周边绿地、绿化带建设，重点推进1300公里既有旧路改造和409公里自然屯通屯硬化路建设，全面改造20座县道以下农村公路上的危桥。到2025年，全市自然屯通硬化路率达到100%。大力发展镇村公交。强化农村信息化基础设施建设，到2025年，实现光纤宽带网络和4G网络的乡村全覆盖，5G网络乡村覆盖率超过50%。</w:t>
      </w:r>
      <w:r>
        <w:rPr>
          <w:rFonts w:ascii="仿宋_GB2312" w:eastAsia="仿宋_GB2312" w:hAnsi="仿宋_GB2312" w:cs="仿宋_GB2312" w:hint="eastAsia"/>
          <w:color w:val="000000"/>
          <w:sz w:val="32"/>
          <w:szCs w:val="32"/>
        </w:rPr>
        <w:t>启动新一轮村级文化</w:t>
      </w:r>
      <w:r>
        <w:rPr>
          <w:rFonts w:ascii="仿宋_GB2312" w:eastAsia="仿宋_GB2312" w:hAnsi="仿宋_GB2312" w:cs="仿宋_GB2312" w:hint="eastAsia"/>
          <w:kern w:val="0"/>
          <w:sz w:val="32"/>
          <w:szCs w:val="32"/>
        </w:rPr>
        <w:t>广场提升工程，力争每个行政村至少有1处文化活动场所。加快农村电网升级改造，新建大型供热中心，实施镇区集中供热。到2025年，农村电网供电可靠率和综合电压合格率均达到100%。</w:t>
      </w:r>
    </w:p>
    <w:p w14:paraId="4A7F44AB" w14:textId="77777777" w:rsidR="00501569" w:rsidRDefault="00C74794">
      <w:pPr>
        <w:pStyle w:val="2"/>
        <w:spacing w:line="240" w:lineRule="auto"/>
        <w:ind w:firstLine="643"/>
        <w:rPr>
          <w:rFonts w:ascii="仿宋_GB2312" w:hAnsi="仿宋_GB2312" w:cs="仿宋_GB2312"/>
          <w:kern w:val="0"/>
          <w:sz w:val="32"/>
          <w:szCs w:val="32"/>
        </w:rPr>
      </w:pPr>
      <w:r>
        <w:rPr>
          <w:rFonts w:ascii="仿宋_GB2312" w:hAnsi="仿宋_GB2312" w:cs="仿宋_GB2312" w:hint="eastAsia"/>
          <w:b/>
          <w:bCs/>
          <w:color w:val="000000"/>
          <w:sz w:val="32"/>
          <w:szCs w:val="32"/>
        </w:rPr>
        <w:t>分类推进</w:t>
      </w:r>
      <w:bookmarkStart w:id="56" w:name="_Toc536126935"/>
      <w:bookmarkStart w:id="57" w:name="_Toc40456148"/>
      <w:r>
        <w:rPr>
          <w:rFonts w:ascii="仿宋_GB2312" w:hAnsi="仿宋_GB2312" w:cs="仿宋_GB2312" w:hint="eastAsia"/>
          <w:b/>
          <w:bCs/>
          <w:color w:val="000000"/>
          <w:sz w:val="32"/>
          <w:szCs w:val="32"/>
        </w:rPr>
        <w:t>乡村建设。</w:t>
      </w:r>
      <w:r>
        <w:rPr>
          <w:rFonts w:ascii="仿宋_GB2312" w:hAnsi="仿宋_GB2312" w:cs="仿宋_GB2312" w:hint="eastAsia"/>
          <w:color w:val="000000"/>
          <w:sz w:val="32"/>
          <w:szCs w:val="32"/>
        </w:rPr>
        <w:t>加强村庄规划引领，编制村庄建设规划。重点推进</w:t>
      </w:r>
      <w:r>
        <w:rPr>
          <w:rFonts w:ascii="仿宋_GB2312" w:hAnsi="仿宋_GB2312" w:cs="仿宋_GB2312" w:hint="eastAsia"/>
          <w:kern w:val="0"/>
          <w:sz w:val="32"/>
          <w:szCs w:val="32"/>
        </w:rPr>
        <w:t>聚集提升类村庄</w:t>
      </w:r>
      <w:bookmarkEnd w:id="56"/>
      <w:r>
        <w:rPr>
          <w:rFonts w:ascii="仿宋_GB2312" w:hAnsi="仿宋_GB2312" w:cs="仿宋_GB2312" w:hint="eastAsia"/>
          <w:kern w:val="0"/>
          <w:sz w:val="32"/>
          <w:szCs w:val="32"/>
        </w:rPr>
        <w:t>发展层级，主动承接域内域外产业外溢，打造种养业、工贸、休闲服务、乡村旅游等专业化村庄。</w:t>
      </w:r>
      <w:bookmarkStart w:id="58" w:name="_Toc536126936"/>
      <w:bookmarkStart w:id="59" w:name="_Toc40456149"/>
      <w:bookmarkEnd w:id="57"/>
      <w:r>
        <w:rPr>
          <w:rFonts w:ascii="仿宋_GB2312" w:hAnsi="仿宋_GB2312" w:cs="仿宋_GB2312" w:hint="eastAsia"/>
          <w:kern w:val="0"/>
          <w:sz w:val="32"/>
          <w:szCs w:val="32"/>
        </w:rPr>
        <w:t>着力加速城郊融合类村庄</w:t>
      </w:r>
      <w:bookmarkEnd w:id="58"/>
      <w:r>
        <w:rPr>
          <w:rFonts w:ascii="仿宋_GB2312" w:hAnsi="仿宋_GB2312" w:cs="仿宋_GB2312" w:hint="eastAsia"/>
          <w:kern w:val="0"/>
          <w:sz w:val="32"/>
          <w:szCs w:val="32"/>
        </w:rPr>
        <w:t>发展，加快与公主岭市区和长春市基础设施互联互通、公共服务共建共享，提升生态、产业、空间、设施、公共服务能力</w:t>
      </w:r>
      <w:bookmarkStart w:id="60" w:name="_Toc536126937"/>
      <w:bookmarkEnd w:id="59"/>
      <w:r>
        <w:rPr>
          <w:rFonts w:ascii="仿宋_GB2312" w:hAnsi="仿宋_GB2312" w:cs="仿宋_GB2312" w:hint="eastAsia"/>
          <w:kern w:val="0"/>
          <w:sz w:val="32"/>
          <w:szCs w:val="32"/>
        </w:rPr>
        <w:t>。支持特色保护类村庄</w:t>
      </w:r>
      <w:bookmarkEnd w:id="60"/>
      <w:r>
        <w:rPr>
          <w:rFonts w:ascii="仿宋_GB2312" w:hAnsi="仿宋_GB2312" w:cs="仿宋_GB2312" w:hint="eastAsia"/>
          <w:kern w:val="0"/>
          <w:sz w:val="32"/>
          <w:szCs w:val="32"/>
        </w:rPr>
        <w:t>发展，提升满族和朝鲜族村庄民族文化品味，保护民族特色，传承和保护秦家屯镇信州古城、二十家子镇赫尔苏城、八屋镇五家子古城遗址、双龙镇大青山遗址等古城特色。</w:t>
      </w:r>
      <w:bookmarkStart w:id="61" w:name="_Toc536126938"/>
      <w:bookmarkStart w:id="62" w:name="_Toc40456151"/>
      <w:r>
        <w:rPr>
          <w:rFonts w:ascii="仿宋_GB2312" w:hAnsi="仿宋_GB2312" w:cs="仿宋_GB2312" w:hint="eastAsia"/>
          <w:kern w:val="0"/>
          <w:sz w:val="32"/>
          <w:szCs w:val="32"/>
        </w:rPr>
        <w:t>扶持搬迁撤并类村庄</w:t>
      </w:r>
      <w:bookmarkEnd w:id="61"/>
      <w:r>
        <w:rPr>
          <w:rFonts w:ascii="仿宋_GB2312" w:hAnsi="仿宋_GB2312" w:cs="仿宋_GB2312" w:hint="eastAsia"/>
          <w:kern w:val="0"/>
          <w:sz w:val="32"/>
          <w:szCs w:val="32"/>
        </w:rPr>
        <w:t>发展，推进西北林区、东辽河河道周边的生态敏感区村庄以及山区、库（湖）区、河区等特殊区域的乡镇村庄按规划搬迁撤并，推进人口空心村庄有序实施搬迁</w:t>
      </w:r>
      <w:r>
        <w:rPr>
          <w:rFonts w:ascii="仿宋_GB2312" w:hAnsi="仿宋_GB2312" w:cs="仿宋_GB2312" w:hint="eastAsia"/>
          <w:kern w:val="0"/>
          <w:sz w:val="32"/>
          <w:szCs w:val="32"/>
        </w:rPr>
        <w:lastRenderedPageBreak/>
        <w:t>撤并，促进农民就地就近安居和转移就业，推动村落原址还耕还林还湿。</w:t>
      </w:r>
      <w:bookmarkEnd w:id="62"/>
    </w:p>
    <w:p w14:paraId="0F7A33A8" w14:textId="77777777" w:rsidR="00F424CD" w:rsidRPr="00F424CD" w:rsidRDefault="00F424CD" w:rsidP="00F424CD"/>
    <w:bookmarkEnd w:id="44"/>
    <w:p w14:paraId="5E1C7E35" w14:textId="77777777" w:rsidR="00501569" w:rsidRDefault="00C74794">
      <w:pPr>
        <w:widowControl/>
        <w:adjustRightInd w:val="0"/>
        <w:jc w:val="center"/>
        <w:rPr>
          <w:rFonts w:ascii="仿宋_GB2312" w:eastAsia="仿宋_GB2312" w:hAnsi="仿宋_GB2312" w:cs="仿宋_GB2312"/>
          <w:kern w:val="0"/>
          <w:sz w:val="28"/>
          <w:szCs w:val="28"/>
        </w:rPr>
      </w:pPr>
      <w:r>
        <w:rPr>
          <w:rFonts w:ascii="楷体_GB2312" w:eastAsia="楷体_GB2312" w:hAnsi="楷体_GB2312" w:cs="楷体_GB2312" w:hint="eastAsia"/>
          <w:b/>
          <w:kern w:val="0"/>
          <w:sz w:val="28"/>
          <w:szCs w:val="28"/>
        </w:rPr>
        <w:t>专栏1</w:t>
      </w:r>
      <w:r>
        <w:rPr>
          <w:rFonts w:ascii="楷体_GB2312" w:eastAsia="楷体_GB2312" w:hAnsi="楷体_GB2312" w:cs="楷体_GB2312"/>
          <w:b/>
          <w:kern w:val="0"/>
          <w:sz w:val="28"/>
          <w:szCs w:val="28"/>
        </w:rPr>
        <w:t>0</w:t>
      </w:r>
      <w:r>
        <w:rPr>
          <w:rFonts w:ascii="楷体_GB2312" w:eastAsia="楷体_GB2312" w:hAnsi="楷体_GB2312" w:cs="楷体_GB2312" w:hint="eastAsia"/>
          <w:b/>
          <w:kern w:val="0"/>
          <w:sz w:val="28"/>
          <w:szCs w:val="28"/>
        </w:rPr>
        <w:t>：乡村类型划分和建设要求</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843"/>
        <w:gridCol w:w="1842"/>
        <w:gridCol w:w="1701"/>
        <w:gridCol w:w="1843"/>
      </w:tblGrid>
      <w:tr w:rsidR="00501569" w14:paraId="6B129CA1" w14:textId="77777777">
        <w:trPr>
          <w:jc w:val="center"/>
        </w:trPr>
        <w:tc>
          <w:tcPr>
            <w:tcW w:w="959" w:type="dxa"/>
            <w:noWrap/>
            <w:vAlign w:val="center"/>
          </w:tcPr>
          <w:p w14:paraId="0622B0B7" w14:textId="77777777" w:rsidR="00501569" w:rsidRDefault="00C74794">
            <w:pPr>
              <w:widowControl/>
              <w:adjustRightInd w:val="0"/>
              <w:jc w:val="center"/>
              <w:rPr>
                <w:rFonts w:ascii="仿宋" w:eastAsia="仿宋" w:hAnsi="仿宋"/>
                <w:b/>
                <w:bCs/>
                <w:kern w:val="0"/>
                <w:sz w:val="28"/>
                <w:szCs w:val="28"/>
              </w:rPr>
            </w:pPr>
            <w:r>
              <w:rPr>
                <w:rFonts w:ascii="仿宋" w:eastAsia="仿宋" w:hAnsi="仿宋" w:hint="eastAsia"/>
                <w:b/>
                <w:bCs/>
                <w:kern w:val="0"/>
                <w:sz w:val="28"/>
                <w:szCs w:val="28"/>
              </w:rPr>
              <w:t>类型</w:t>
            </w:r>
          </w:p>
        </w:tc>
        <w:tc>
          <w:tcPr>
            <w:tcW w:w="1843" w:type="dxa"/>
            <w:noWrap/>
            <w:vAlign w:val="center"/>
          </w:tcPr>
          <w:p w14:paraId="7BE220D0" w14:textId="77777777" w:rsidR="00501569" w:rsidRDefault="00C74794">
            <w:pPr>
              <w:widowControl/>
              <w:adjustRightInd w:val="0"/>
              <w:jc w:val="center"/>
              <w:rPr>
                <w:rFonts w:ascii="仿宋" w:eastAsia="仿宋" w:hAnsi="仿宋"/>
                <w:b/>
                <w:bCs/>
                <w:kern w:val="0"/>
                <w:sz w:val="28"/>
                <w:szCs w:val="28"/>
              </w:rPr>
            </w:pPr>
            <w:r>
              <w:rPr>
                <w:rFonts w:ascii="仿宋" w:eastAsia="仿宋" w:hAnsi="仿宋" w:hint="eastAsia"/>
                <w:b/>
                <w:bCs/>
                <w:kern w:val="0"/>
                <w:sz w:val="28"/>
                <w:szCs w:val="28"/>
              </w:rPr>
              <w:t>聚集提升类</w:t>
            </w:r>
          </w:p>
        </w:tc>
        <w:tc>
          <w:tcPr>
            <w:tcW w:w="1842" w:type="dxa"/>
            <w:noWrap/>
            <w:vAlign w:val="center"/>
          </w:tcPr>
          <w:p w14:paraId="2D11BE94" w14:textId="77777777" w:rsidR="00501569" w:rsidRDefault="00C74794">
            <w:pPr>
              <w:widowControl/>
              <w:adjustRightInd w:val="0"/>
              <w:jc w:val="center"/>
              <w:rPr>
                <w:rFonts w:ascii="仿宋" w:eastAsia="仿宋" w:hAnsi="仿宋"/>
                <w:b/>
                <w:bCs/>
                <w:kern w:val="0"/>
                <w:sz w:val="28"/>
                <w:szCs w:val="28"/>
              </w:rPr>
            </w:pPr>
            <w:r>
              <w:rPr>
                <w:rFonts w:ascii="仿宋" w:eastAsia="仿宋" w:hAnsi="仿宋" w:hint="eastAsia"/>
                <w:b/>
                <w:bCs/>
                <w:kern w:val="0"/>
                <w:sz w:val="28"/>
                <w:szCs w:val="28"/>
              </w:rPr>
              <w:t>城郊融合类</w:t>
            </w:r>
          </w:p>
        </w:tc>
        <w:tc>
          <w:tcPr>
            <w:tcW w:w="1701" w:type="dxa"/>
            <w:noWrap/>
            <w:vAlign w:val="center"/>
          </w:tcPr>
          <w:p w14:paraId="1CC906B7" w14:textId="77777777" w:rsidR="00501569" w:rsidRDefault="00C74794">
            <w:pPr>
              <w:widowControl/>
              <w:adjustRightInd w:val="0"/>
              <w:jc w:val="center"/>
              <w:rPr>
                <w:rFonts w:ascii="仿宋" w:eastAsia="仿宋" w:hAnsi="仿宋"/>
                <w:b/>
                <w:bCs/>
                <w:kern w:val="0"/>
                <w:sz w:val="28"/>
                <w:szCs w:val="28"/>
              </w:rPr>
            </w:pPr>
            <w:r>
              <w:rPr>
                <w:rFonts w:ascii="仿宋" w:eastAsia="仿宋" w:hAnsi="仿宋" w:hint="eastAsia"/>
                <w:b/>
                <w:bCs/>
                <w:kern w:val="0"/>
                <w:sz w:val="28"/>
                <w:szCs w:val="28"/>
              </w:rPr>
              <w:t>特色保护类</w:t>
            </w:r>
          </w:p>
        </w:tc>
        <w:tc>
          <w:tcPr>
            <w:tcW w:w="1843" w:type="dxa"/>
            <w:noWrap/>
            <w:vAlign w:val="center"/>
          </w:tcPr>
          <w:p w14:paraId="671350E0" w14:textId="77777777" w:rsidR="00501569" w:rsidRDefault="00C74794">
            <w:pPr>
              <w:widowControl/>
              <w:adjustRightInd w:val="0"/>
              <w:jc w:val="center"/>
              <w:rPr>
                <w:rFonts w:ascii="仿宋" w:eastAsia="仿宋" w:hAnsi="仿宋"/>
                <w:b/>
                <w:bCs/>
                <w:kern w:val="0"/>
                <w:sz w:val="28"/>
                <w:szCs w:val="28"/>
              </w:rPr>
            </w:pPr>
            <w:r>
              <w:rPr>
                <w:rFonts w:ascii="仿宋" w:eastAsia="仿宋" w:hAnsi="仿宋" w:hint="eastAsia"/>
                <w:b/>
                <w:bCs/>
                <w:kern w:val="0"/>
                <w:sz w:val="28"/>
                <w:szCs w:val="28"/>
              </w:rPr>
              <w:t>搬迁撤并类</w:t>
            </w:r>
          </w:p>
        </w:tc>
      </w:tr>
      <w:tr w:rsidR="00501569" w14:paraId="6A778581" w14:textId="77777777">
        <w:trPr>
          <w:jc w:val="center"/>
        </w:trPr>
        <w:tc>
          <w:tcPr>
            <w:tcW w:w="959" w:type="dxa"/>
            <w:noWrap/>
            <w:vAlign w:val="center"/>
          </w:tcPr>
          <w:p w14:paraId="440FC4F9" w14:textId="77777777" w:rsidR="00501569" w:rsidRDefault="00C74794">
            <w:pPr>
              <w:widowControl/>
              <w:adjustRightInd w:val="0"/>
              <w:jc w:val="center"/>
              <w:rPr>
                <w:rFonts w:ascii="仿宋" w:eastAsia="仿宋" w:hAnsi="仿宋"/>
                <w:b/>
                <w:bCs/>
                <w:kern w:val="0"/>
                <w:sz w:val="28"/>
                <w:szCs w:val="28"/>
              </w:rPr>
            </w:pPr>
            <w:r>
              <w:rPr>
                <w:rFonts w:ascii="仿宋" w:eastAsia="仿宋" w:hAnsi="仿宋" w:hint="eastAsia"/>
                <w:b/>
                <w:bCs/>
                <w:kern w:val="0"/>
                <w:sz w:val="28"/>
                <w:szCs w:val="28"/>
              </w:rPr>
              <w:t>占比</w:t>
            </w:r>
          </w:p>
        </w:tc>
        <w:tc>
          <w:tcPr>
            <w:tcW w:w="1843" w:type="dxa"/>
            <w:noWrap/>
            <w:vAlign w:val="center"/>
          </w:tcPr>
          <w:p w14:paraId="2C04614B" w14:textId="77777777" w:rsidR="00501569" w:rsidRDefault="00C74794">
            <w:pPr>
              <w:widowControl/>
              <w:adjustRightInd w:val="0"/>
              <w:jc w:val="center"/>
              <w:rPr>
                <w:rFonts w:ascii="宋体" w:eastAsia="宋体" w:hAnsi="宋体" w:cs="宋体"/>
                <w:kern w:val="0"/>
                <w:szCs w:val="21"/>
              </w:rPr>
            </w:pPr>
            <w:r>
              <w:rPr>
                <w:rFonts w:ascii="宋体" w:eastAsia="宋体" w:hAnsi="宋体" w:cs="宋体" w:hint="eastAsia"/>
                <w:kern w:val="0"/>
                <w:szCs w:val="21"/>
              </w:rPr>
              <w:t>约占总数50%</w:t>
            </w:r>
          </w:p>
        </w:tc>
        <w:tc>
          <w:tcPr>
            <w:tcW w:w="1842" w:type="dxa"/>
            <w:noWrap/>
            <w:vAlign w:val="center"/>
          </w:tcPr>
          <w:p w14:paraId="3F15561C" w14:textId="77777777" w:rsidR="00501569" w:rsidRDefault="00C74794">
            <w:pPr>
              <w:widowControl/>
              <w:adjustRightInd w:val="0"/>
              <w:jc w:val="center"/>
              <w:rPr>
                <w:rFonts w:ascii="宋体" w:eastAsia="宋体" w:hAnsi="宋体" w:cs="宋体"/>
                <w:kern w:val="0"/>
                <w:szCs w:val="21"/>
              </w:rPr>
            </w:pPr>
            <w:r>
              <w:rPr>
                <w:rFonts w:ascii="宋体" w:eastAsia="宋体" w:hAnsi="宋体" w:cs="宋体" w:hint="eastAsia"/>
                <w:kern w:val="0"/>
                <w:szCs w:val="21"/>
              </w:rPr>
              <w:t>约占总数30%</w:t>
            </w:r>
          </w:p>
        </w:tc>
        <w:tc>
          <w:tcPr>
            <w:tcW w:w="1701" w:type="dxa"/>
            <w:noWrap/>
            <w:vAlign w:val="center"/>
          </w:tcPr>
          <w:p w14:paraId="30953E2C" w14:textId="77777777" w:rsidR="00501569" w:rsidRDefault="00C74794">
            <w:pPr>
              <w:widowControl/>
              <w:adjustRightInd w:val="0"/>
              <w:jc w:val="center"/>
              <w:rPr>
                <w:rFonts w:ascii="宋体" w:eastAsia="宋体" w:hAnsi="宋体" w:cs="宋体"/>
                <w:kern w:val="0"/>
                <w:szCs w:val="21"/>
              </w:rPr>
            </w:pPr>
            <w:r>
              <w:rPr>
                <w:rFonts w:ascii="宋体" w:eastAsia="宋体" w:hAnsi="宋体" w:cs="宋体" w:hint="eastAsia"/>
                <w:kern w:val="0"/>
                <w:szCs w:val="21"/>
              </w:rPr>
              <w:t>约占总数15%</w:t>
            </w:r>
          </w:p>
        </w:tc>
        <w:tc>
          <w:tcPr>
            <w:tcW w:w="1843" w:type="dxa"/>
            <w:noWrap/>
            <w:vAlign w:val="center"/>
          </w:tcPr>
          <w:p w14:paraId="687EFB31" w14:textId="77777777" w:rsidR="00501569" w:rsidRDefault="00C74794">
            <w:pPr>
              <w:widowControl/>
              <w:adjustRightInd w:val="0"/>
              <w:jc w:val="center"/>
              <w:rPr>
                <w:rFonts w:ascii="宋体" w:eastAsia="宋体" w:hAnsi="宋体" w:cs="宋体"/>
                <w:kern w:val="0"/>
                <w:szCs w:val="21"/>
              </w:rPr>
            </w:pPr>
            <w:r>
              <w:rPr>
                <w:rFonts w:ascii="宋体" w:eastAsia="宋体" w:hAnsi="宋体" w:cs="宋体" w:hint="eastAsia"/>
                <w:kern w:val="0"/>
                <w:szCs w:val="21"/>
              </w:rPr>
              <w:t>约占总数5%</w:t>
            </w:r>
          </w:p>
        </w:tc>
      </w:tr>
      <w:tr w:rsidR="00501569" w14:paraId="44AE0D07" w14:textId="77777777">
        <w:trPr>
          <w:trHeight w:val="346"/>
          <w:jc w:val="center"/>
        </w:trPr>
        <w:tc>
          <w:tcPr>
            <w:tcW w:w="959" w:type="dxa"/>
            <w:noWrap/>
            <w:vAlign w:val="center"/>
          </w:tcPr>
          <w:p w14:paraId="064985A0" w14:textId="77777777" w:rsidR="00501569" w:rsidRDefault="00C74794">
            <w:pPr>
              <w:widowControl/>
              <w:adjustRightInd w:val="0"/>
              <w:spacing w:line="300" w:lineRule="exact"/>
              <w:jc w:val="center"/>
              <w:rPr>
                <w:rFonts w:ascii="仿宋" w:eastAsia="仿宋" w:hAnsi="仿宋"/>
                <w:b/>
                <w:bCs/>
                <w:kern w:val="0"/>
                <w:sz w:val="28"/>
                <w:szCs w:val="28"/>
              </w:rPr>
            </w:pPr>
            <w:r>
              <w:rPr>
                <w:rFonts w:ascii="仿宋" w:eastAsia="仿宋" w:hAnsi="仿宋" w:hint="eastAsia"/>
                <w:b/>
                <w:bCs/>
                <w:kern w:val="0"/>
                <w:sz w:val="28"/>
                <w:szCs w:val="28"/>
              </w:rPr>
              <w:t>标准</w:t>
            </w:r>
          </w:p>
          <w:p w14:paraId="4D9803D8" w14:textId="77777777" w:rsidR="00501569" w:rsidRDefault="00C74794">
            <w:pPr>
              <w:widowControl/>
              <w:adjustRightInd w:val="0"/>
              <w:spacing w:line="300" w:lineRule="exact"/>
              <w:jc w:val="center"/>
              <w:rPr>
                <w:rFonts w:ascii="仿宋" w:eastAsia="仿宋" w:hAnsi="仿宋"/>
                <w:b/>
                <w:bCs/>
                <w:kern w:val="0"/>
                <w:sz w:val="28"/>
                <w:szCs w:val="28"/>
              </w:rPr>
            </w:pPr>
            <w:r>
              <w:rPr>
                <w:rFonts w:ascii="仿宋" w:eastAsia="仿宋" w:hAnsi="仿宋"/>
                <w:b/>
                <w:bCs/>
                <w:kern w:val="0"/>
                <w:sz w:val="28"/>
                <w:szCs w:val="28"/>
              </w:rPr>
              <w:t>要求</w:t>
            </w:r>
          </w:p>
        </w:tc>
        <w:tc>
          <w:tcPr>
            <w:tcW w:w="1843" w:type="dxa"/>
            <w:noWrap/>
            <w:vAlign w:val="center"/>
          </w:tcPr>
          <w:p w14:paraId="5BD86290" w14:textId="77777777" w:rsidR="00501569" w:rsidRDefault="00C74794">
            <w:pPr>
              <w:widowControl/>
              <w:adjustRightInd w:val="0"/>
              <w:jc w:val="left"/>
              <w:rPr>
                <w:rFonts w:ascii="宋体" w:eastAsia="宋体" w:hAnsi="宋体" w:cs="宋体"/>
                <w:kern w:val="0"/>
                <w:szCs w:val="21"/>
              </w:rPr>
            </w:pPr>
            <w:r>
              <w:rPr>
                <w:rFonts w:ascii="宋体" w:eastAsia="宋体" w:hAnsi="宋体" w:cs="宋体" w:hint="eastAsia"/>
                <w:kern w:val="0"/>
                <w:szCs w:val="21"/>
              </w:rPr>
              <w:t>产业发展优势明显，三产融合程度高，村集体经济收入超过50万元；基础设施配套齐全，环境优美宜居；乡风文明、乡村治理全面加强。</w:t>
            </w:r>
          </w:p>
        </w:tc>
        <w:tc>
          <w:tcPr>
            <w:tcW w:w="1842" w:type="dxa"/>
            <w:noWrap/>
            <w:vAlign w:val="center"/>
          </w:tcPr>
          <w:p w14:paraId="174A1A23" w14:textId="77777777" w:rsidR="00501569" w:rsidRDefault="00C74794">
            <w:pPr>
              <w:widowControl/>
              <w:adjustRightInd w:val="0"/>
              <w:jc w:val="left"/>
              <w:rPr>
                <w:rFonts w:ascii="宋体" w:eastAsia="宋体" w:hAnsi="宋体" w:cs="宋体"/>
                <w:kern w:val="0"/>
                <w:szCs w:val="21"/>
              </w:rPr>
            </w:pPr>
            <w:r>
              <w:rPr>
                <w:rFonts w:ascii="宋体" w:eastAsia="宋体" w:hAnsi="宋体" w:cs="宋体" w:hint="eastAsia"/>
                <w:kern w:val="0"/>
                <w:szCs w:val="21"/>
              </w:rPr>
              <w:t>产业发展基础增强，村集体经济实力强；基础设施和公共环境明显改善；宜居宜业水平大幅提升；乡风文明、乡村治理全面加强。</w:t>
            </w:r>
          </w:p>
        </w:tc>
        <w:tc>
          <w:tcPr>
            <w:tcW w:w="1701" w:type="dxa"/>
            <w:noWrap/>
            <w:vAlign w:val="center"/>
          </w:tcPr>
          <w:p w14:paraId="10D972CE" w14:textId="77777777" w:rsidR="00501569" w:rsidRDefault="00C74794">
            <w:pPr>
              <w:widowControl/>
              <w:adjustRightInd w:val="0"/>
              <w:jc w:val="left"/>
              <w:rPr>
                <w:rFonts w:ascii="宋体" w:eastAsia="宋体" w:hAnsi="宋体" w:cs="宋体"/>
                <w:kern w:val="0"/>
                <w:szCs w:val="21"/>
              </w:rPr>
            </w:pPr>
            <w:r>
              <w:rPr>
                <w:rFonts w:ascii="宋体" w:eastAsia="宋体" w:hAnsi="宋体" w:cs="宋体" w:hint="eastAsia"/>
                <w:kern w:val="0"/>
                <w:szCs w:val="21"/>
              </w:rPr>
              <w:t>产业特色彰显，特色资源保护与村庄发展良性互动，村集体经济发展壮大；生产生活条件明显改善；乡风文明、乡村治理全面加强。</w:t>
            </w:r>
          </w:p>
        </w:tc>
        <w:tc>
          <w:tcPr>
            <w:tcW w:w="1843" w:type="dxa"/>
            <w:noWrap/>
            <w:vAlign w:val="center"/>
          </w:tcPr>
          <w:p w14:paraId="01160442" w14:textId="77777777" w:rsidR="00501569" w:rsidRDefault="00C74794">
            <w:pPr>
              <w:widowControl/>
              <w:adjustRightInd w:val="0"/>
              <w:jc w:val="left"/>
              <w:rPr>
                <w:rFonts w:ascii="宋体" w:eastAsia="宋体" w:hAnsi="宋体" w:cs="宋体"/>
                <w:kern w:val="0"/>
                <w:szCs w:val="21"/>
              </w:rPr>
            </w:pPr>
            <w:r>
              <w:rPr>
                <w:rFonts w:ascii="宋体" w:eastAsia="宋体" w:hAnsi="宋体" w:cs="宋体" w:hint="eastAsia"/>
                <w:kern w:val="0"/>
                <w:szCs w:val="21"/>
              </w:rPr>
              <w:t>保障正常生产生活条件；合村并点、生态搬迁稳步有序，迁建与发展同步推进；农民就近安居和就业取得显著进展。</w:t>
            </w:r>
          </w:p>
        </w:tc>
      </w:tr>
    </w:tbl>
    <w:p w14:paraId="64369019"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63" w:name="_Toc56584444"/>
      <w:bookmarkStart w:id="64" w:name="_Toc17318"/>
      <w:r w:rsidRPr="005717BE">
        <w:rPr>
          <w:rFonts w:ascii="楷体_GB2312" w:eastAsia="楷体_GB2312" w:hAnsi="楷体_GB2312" w:cs="楷体_GB2312" w:hint="eastAsia"/>
          <w:b/>
          <w:bCs/>
          <w:sz w:val="32"/>
          <w:szCs w:val="32"/>
        </w:rPr>
        <w:t xml:space="preserve">第五节 </w:t>
      </w:r>
      <w:bookmarkEnd w:id="63"/>
      <w:r w:rsidRPr="005717BE">
        <w:rPr>
          <w:rFonts w:ascii="楷体_GB2312" w:eastAsia="楷体_GB2312" w:hAnsi="楷体_GB2312" w:cs="楷体_GB2312" w:hint="eastAsia"/>
          <w:b/>
          <w:bCs/>
          <w:sz w:val="32"/>
          <w:szCs w:val="32"/>
        </w:rPr>
        <w:t>巩固拓展脱贫攻坚成果同乡村振兴有效街接</w:t>
      </w:r>
      <w:bookmarkEnd w:id="64"/>
    </w:p>
    <w:p w14:paraId="1C42EA1F" w14:textId="77777777" w:rsidR="00501569" w:rsidRDefault="00E5151F">
      <w:pPr>
        <w:ind w:firstLineChars="200" w:firstLine="640"/>
        <w:rPr>
          <w:rFonts w:ascii="仿宋_GB2312" w:eastAsia="仿宋_GB2312" w:hAnsi="仿宋_GB2312" w:cs="仿宋_GB2312"/>
          <w:b/>
          <w:sz w:val="32"/>
          <w:szCs w:val="32"/>
        </w:rPr>
      </w:pPr>
      <w:r w:rsidRPr="00E5151F">
        <w:rPr>
          <w:rFonts w:ascii="仿宋_GB2312" w:eastAsia="仿宋_GB2312" w:hAnsi="仿宋_GB2312" w:cs="仿宋_GB2312" w:hint="eastAsia"/>
          <w:sz w:val="32"/>
          <w:szCs w:val="32"/>
        </w:rPr>
        <w:t>保持帮扶政策总体稳定，严格落实“四个不摘”要求，保持现有帮扶政策、资金支持、帮扶力量总体稳定；健全防止返贫监测帮扶机制，继续对脱贫村、脱贫人口开展监测，持续跟踪收入变化和“两不愁三保障”巩固情况，定期核查，及时发现，及时帮扶，动态清零；持续发展壮大扶贫产业，继续加强扶贫产业发展和基础设施建设。强化消费扶贫、金融扶贫和科技扶贫；做好脱贫人口稳岗就业，规范管理公益岗位，促进弱劳力、</w:t>
      </w:r>
      <w:r w:rsidRPr="00E5151F">
        <w:rPr>
          <w:rFonts w:ascii="仿宋_GB2312" w:eastAsia="仿宋_GB2312" w:hAnsi="仿宋_GB2312" w:cs="仿宋_GB2312"/>
          <w:sz w:val="32"/>
          <w:szCs w:val="32"/>
        </w:rPr>
        <w:t>半劳力等家庭就近就地解决就业。加大对脱贫人口职业技能培训力度，实施志智并扶；加强资金资产项目管理，建立健全资产管理制度，持续发挥效</w:t>
      </w:r>
      <w:r w:rsidRPr="00E5151F">
        <w:rPr>
          <w:rFonts w:ascii="仿宋_GB2312" w:eastAsia="仿宋_GB2312" w:hAnsi="仿宋_GB2312" w:cs="仿宋_GB2312" w:hint="eastAsia"/>
          <w:sz w:val="32"/>
          <w:szCs w:val="32"/>
        </w:rPr>
        <w:t>益；兜住</w:t>
      </w:r>
      <w:r w:rsidRPr="00E5151F">
        <w:rPr>
          <w:rFonts w:ascii="仿宋_GB2312" w:eastAsia="仿宋_GB2312" w:hAnsi="仿宋_GB2312" w:cs="仿宋_GB2312" w:hint="eastAsia"/>
          <w:sz w:val="32"/>
          <w:szCs w:val="32"/>
        </w:rPr>
        <w:lastRenderedPageBreak/>
        <w:t>民生底线，依托现有社会保障体系，在保障端持续精准发力，彻底解决支出型贫困问题发生；全面推进乡村振兴战略，重点支持农村低收入人口和发展相对落后镇村，增强其巩固拓展脱贫攻坚成果能力。</w:t>
      </w:r>
    </w:p>
    <w:p w14:paraId="4E1C7556" w14:textId="77777777" w:rsidR="00501569" w:rsidRDefault="00C74794" w:rsidP="0045498C">
      <w:pPr>
        <w:spacing w:beforeLines="50" w:before="156" w:afterLines="50" w:after="156"/>
        <w:jc w:val="center"/>
        <w:outlineLvl w:val="0"/>
        <w:rPr>
          <w:rFonts w:ascii="黑体" w:eastAsia="黑体" w:hAnsi="黑体"/>
          <w:sz w:val="32"/>
          <w:szCs w:val="32"/>
        </w:rPr>
      </w:pPr>
      <w:bookmarkStart w:id="65" w:name="_Toc25244"/>
      <w:r>
        <w:rPr>
          <w:rFonts w:ascii="黑体" w:eastAsia="黑体" w:hAnsi="黑体" w:hint="eastAsia"/>
          <w:sz w:val="32"/>
          <w:szCs w:val="32"/>
        </w:rPr>
        <w:t>第七章 实施新型城镇化示范，构建城镇发展新格局</w:t>
      </w:r>
      <w:bookmarkEnd w:id="65"/>
    </w:p>
    <w:p w14:paraId="34CE486C"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bCs/>
          <w:sz w:val="32"/>
          <w:szCs w:val="32"/>
        </w:rPr>
        <w:t>牢牢把握长春公主岭同城化协同发展机遇</w:t>
      </w:r>
      <w:r>
        <w:rPr>
          <w:rFonts w:ascii="仿宋_GB2312" w:eastAsia="仿宋_GB2312" w:hAnsi="仿宋_GB2312" w:cs="仿宋_GB2312" w:hint="eastAsia"/>
          <w:sz w:val="32"/>
          <w:szCs w:val="32"/>
        </w:rPr>
        <w:t>，融入</w:t>
      </w:r>
      <w:r>
        <w:rPr>
          <w:rFonts w:ascii="仿宋_GB2312" w:eastAsia="仿宋_GB2312" w:hAnsi="仿宋_GB2312" w:cs="仿宋_GB2312" w:hint="eastAsia"/>
          <w:bCs/>
          <w:sz w:val="32"/>
          <w:szCs w:val="32"/>
        </w:rPr>
        <w:t>长春现代化都市圈，以人的城镇化为核心，</w:t>
      </w:r>
      <w:r>
        <w:rPr>
          <w:rFonts w:ascii="仿宋_GB2312" w:eastAsia="仿宋_GB2312" w:hAnsi="仿宋_GB2312" w:cs="仿宋_GB2312" w:hint="eastAsia"/>
          <w:sz w:val="32"/>
          <w:szCs w:val="32"/>
        </w:rPr>
        <w:t>提高农业转移人口市民化质量，不断增强城镇综合承载能力，促进城乡融合发展，加快建成长春现代化都市圈新型中等城市</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到2025年，常住人口城镇化率达到62%。</w:t>
      </w:r>
    </w:p>
    <w:p w14:paraId="68BD2B74" w14:textId="77777777" w:rsidR="00501569" w:rsidRPr="005717BE" w:rsidRDefault="00C74794" w:rsidP="0045498C">
      <w:pPr>
        <w:spacing w:beforeLines="50" w:before="156" w:afterLines="50" w:after="156"/>
        <w:jc w:val="center"/>
        <w:outlineLvl w:val="1"/>
        <w:rPr>
          <w:rFonts w:ascii="楷体_GB2312" w:eastAsia="楷体_GB2312"/>
          <w:b/>
          <w:sz w:val="32"/>
          <w:szCs w:val="32"/>
        </w:rPr>
      </w:pPr>
      <w:bookmarkStart w:id="66" w:name="_Toc15140"/>
      <w:bookmarkStart w:id="67" w:name="_Toc1560"/>
      <w:r w:rsidRPr="005717BE">
        <w:rPr>
          <w:rFonts w:ascii="楷体_GB2312" w:eastAsia="楷体_GB2312" w:hint="eastAsia"/>
          <w:b/>
          <w:sz w:val="32"/>
          <w:szCs w:val="32"/>
        </w:rPr>
        <w:t>第一节 构建新型城镇化格局</w:t>
      </w:r>
      <w:bookmarkEnd w:id="66"/>
      <w:bookmarkEnd w:id="67"/>
    </w:p>
    <w:p w14:paraId="3C38E146" w14:textId="77777777" w:rsidR="00501569" w:rsidRDefault="00C7479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顺应公主岭经济社会发展新阶段新趋势，遵循产业、经济和城市发展规律，构建“1+4+N”新型城镇化体系，打造以公主岭市中心城区为核心，以范家屯镇、大岭镇、响水镇、怀德镇四个重点城镇为辅，以秦家屯、杨大城子、双城堡、黑林子、桑树台、陶家屯等节点镇为支点的“一核四辅多支点”新型城镇化格局。</w:t>
      </w:r>
    </w:p>
    <w:p w14:paraId="6D2715FD" w14:textId="77777777" w:rsidR="00501569" w:rsidRDefault="00C74794">
      <w:pPr>
        <w:pStyle w:val="a3"/>
        <w:spacing w:after="0"/>
        <w:ind w:leftChars="0" w:left="0"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强化核心带动作用。</w:t>
      </w:r>
      <w:r>
        <w:rPr>
          <w:rFonts w:ascii="仿宋_GB2312" w:eastAsia="仿宋_GB2312" w:hAnsi="仿宋_GB2312" w:cs="仿宋_GB2312" w:hint="eastAsia"/>
          <w:sz w:val="32"/>
          <w:szCs w:val="32"/>
        </w:rPr>
        <w:t>巩固提升中心城区经济、社会、政治、文化综合功能和核心地位，推进国家县城新型城镇化建设示范，全面提升城市发展质量和城区建设品质，持续</w:t>
      </w:r>
      <w:r>
        <w:rPr>
          <w:rFonts w:ascii="仿宋_GB2312" w:eastAsia="仿宋_GB2312" w:hAnsi="仿宋_GB2312" w:cs="仿宋_GB2312" w:hint="eastAsia"/>
          <w:color w:val="000000"/>
          <w:sz w:val="32"/>
          <w:szCs w:val="32"/>
        </w:rPr>
        <w:t>做大</w:t>
      </w:r>
      <w:r>
        <w:rPr>
          <w:rFonts w:ascii="仿宋_GB2312" w:eastAsia="仿宋_GB2312" w:hAnsi="仿宋_GB2312" w:cs="仿宋_GB2312" w:hint="eastAsia"/>
          <w:sz w:val="32"/>
          <w:szCs w:val="32"/>
        </w:rPr>
        <w:t>城区</w:t>
      </w:r>
      <w:r>
        <w:rPr>
          <w:rFonts w:ascii="仿宋_GB2312" w:eastAsia="仿宋_GB2312" w:hAnsi="仿宋_GB2312" w:cs="仿宋_GB2312" w:hint="eastAsia"/>
          <w:color w:val="000000"/>
          <w:sz w:val="32"/>
          <w:szCs w:val="32"/>
        </w:rPr>
        <w:t>规模</w:t>
      </w:r>
      <w:r>
        <w:rPr>
          <w:rFonts w:ascii="仿宋_GB2312" w:eastAsia="仿宋_GB2312" w:hAnsi="仿宋_GB2312" w:cs="仿宋_GB2312" w:hint="eastAsia"/>
          <w:sz w:val="32"/>
          <w:szCs w:val="32"/>
        </w:rPr>
        <w:t>，</w:t>
      </w:r>
      <w:r>
        <w:rPr>
          <w:rFonts w:ascii="仿宋_GB2312" w:eastAsia="仿宋_GB2312" w:hAnsi="仿宋_GB2312" w:cs="仿宋_GB2312" w:hint="eastAsia"/>
          <w:bCs/>
          <w:color w:val="000000"/>
          <w:sz w:val="32"/>
          <w:szCs w:val="32"/>
        </w:rPr>
        <w:t>统筹推进老城区和功能新区“一体提升”，</w:t>
      </w:r>
      <w:r>
        <w:rPr>
          <w:rFonts w:ascii="仿宋_GB2312" w:eastAsia="仿宋_GB2312" w:hAnsi="仿宋_GB2312" w:cs="仿宋_GB2312" w:hint="eastAsia"/>
          <w:sz w:val="32"/>
          <w:szCs w:val="32"/>
        </w:rPr>
        <w:t>引导农</w:t>
      </w:r>
      <w:r>
        <w:rPr>
          <w:rFonts w:ascii="仿宋_GB2312" w:eastAsia="仿宋_GB2312" w:hAnsi="仿宋_GB2312" w:cs="仿宋_GB2312" w:hint="eastAsia"/>
          <w:sz w:val="32"/>
          <w:szCs w:val="32"/>
        </w:rPr>
        <w:lastRenderedPageBreak/>
        <w:t>村、乡镇人口向中心城区加快集聚，丰富城区景观层次和文化内涵，挖掘城区历史底蕴和生态功能，提升城市综合承载能力和现代化治理水平，全面建设现代化新型中等城市。</w:t>
      </w:r>
    </w:p>
    <w:p w14:paraId="0F8389C4" w14:textId="77777777" w:rsidR="00501569" w:rsidRDefault="00C74794">
      <w:pPr>
        <w:pStyle w:val="a3"/>
        <w:spacing w:after="0"/>
        <w:ind w:leftChars="0" w:left="0" w:firstLineChars="200" w:firstLine="643"/>
        <w:rPr>
          <w:rFonts w:ascii="仿宋_GB2312" w:eastAsia="仿宋_GB2312" w:hAnsi="仿宋_GB2312" w:cs="仿宋_GB2312"/>
          <w:sz w:val="32"/>
          <w:szCs w:val="32"/>
        </w:rPr>
      </w:pPr>
      <w:r>
        <w:rPr>
          <w:rFonts w:ascii="仿宋_GB2312" w:eastAsia="仿宋_GB2312" w:hAnsi="仿宋" w:cs="仿宋" w:hint="eastAsia"/>
          <w:b/>
          <w:bCs/>
          <w:sz w:val="32"/>
          <w:szCs w:val="32"/>
        </w:rPr>
        <w:t>着力打造“四辅”。</w:t>
      </w:r>
      <w:r>
        <w:rPr>
          <w:rFonts w:ascii="仿宋_GB2312" w:eastAsia="仿宋_GB2312" w:hint="eastAsia"/>
          <w:sz w:val="32"/>
          <w:szCs w:val="32"/>
        </w:rPr>
        <w:t>围绕建设长春国际汽车城和长春国家区域创新中心，打造</w:t>
      </w:r>
      <w:r>
        <w:rPr>
          <w:rFonts w:ascii="仿宋_GB2312" w:eastAsia="仿宋_GB2312" w:hAnsi="仿宋_GB2312" w:cs="仿宋_GB2312" w:hint="eastAsia"/>
          <w:sz w:val="32"/>
          <w:szCs w:val="32"/>
        </w:rPr>
        <w:t>范家屯镇、大岭镇、响水镇、怀德镇四个辅城，推进全域城镇化，加快产城融合</w:t>
      </w:r>
      <w:r>
        <w:rPr>
          <w:rFonts w:ascii="仿宋_GB2312" w:eastAsia="仿宋_GB2312" w:hint="eastAsia"/>
          <w:sz w:val="32"/>
          <w:szCs w:val="32"/>
        </w:rPr>
        <w:t>。</w:t>
      </w:r>
      <w:r>
        <w:rPr>
          <w:rFonts w:ascii="仿宋_GB2312" w:eastAsia="仿宋_GB2312" w:hAnsi="仿宋_GB2312" w:cs="仿宋_GB2312" w:hint="eastAsia"/>
          <w:sz w:val="32"/>
          <w:szCs w:val="32"/>
        </w:rPr>
        <w:t>突出范家屯汽车零部件综合配套和生产性服务业集聚功能，突出大岭汽车物流综合配套和生活性服务业集聚功能，突出响水镇与长春高新区协同创新功能，突出怀德镇</w:t>
      </w:r>
      <w:r w:rsidR="00716354">
        <w:rPr>
          <w:rFonts w:ascii="仿宋_GB2312" w:eastAsia="仿宋_GB2312" w:hAnsi="仿宋_GB2312" w:cs="仿宋_GB2312" w:hint="eastAsia"/>
          <w:sz w:val="32"/>
          <w:szCs w:val="32"/>
        </w:rPr>
        <w:t>农</w:t>
      </w:r>
      <w:r>
        <w:rPr>
          <w:rFonts w:ascii="仿宋_GB2312" w:eastAsia="仿宋_GB2312" w:hAnsi="仿宋_GB2312" w:cs="仿宋_GB2312" w:hint="eastAsia"/>
          <w:sz w:val="32"/>
          <w:szCs w:val="32"/>
        </w:rPr>
        <w:t>牧业生产和商贸流通功能，完善提升产业、商住、农业生态、旅游观光、休闲娱乐等综合功能，有力支撑长春公主岭同城化协同发展。</w:t>
      </w:r>
    </w:p>
    <w:p w14:paraId="4448EB9C" w14:textId="77777777" w:rsidR="00501569" w:rsidRDefault="00C74794">
      <w:pPr>
        <w:widowControl/>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bCs/>
          <w:sz w:val="32"/>
          <w:szCs w:val="32"/>
        </w:rPr>
        <w:t>强化多点支撑</w:t>
      </w:r>
      <w:r>
        <w:rPr>
          <w:rFonts w:ascii="仿宋_GB2312" w:eastAsia="仿宋_GB2312" w:hAnsi="仿宋_GB2312" w:cs="仿宋_GB2312" w:hint="eastAsia"/>
          <w:sz w:val="32"/>
          <w:szCs w:val="32"/>
        </w:rPr>
        <w:t>。强化重点镇支点功能，发展特色产业，强化吸纳人口能力。推动秦家屯实施“一稻两游”发展战略，打造稻米生产集散中心，培育开发荷花湿地康养旅游产业和保护开发信州古城文化旅游产业。</w:t>
      </w:r>
      <w:r>
        <w:rPr>
          <w:rFonts w:ascii="仿宋_GB2312" w:eastAsia="仿宋_GB2312" w:hAnsi="仿宋_GB2312" w:cs="仿宋_GB2312" w:hint="eastAsia"/>
          <w:bCs/>
          <w:sz w:val="32"/>
          <w:szCs w:val="32"/>
        </w:rPr>
        <w:t>推动杨大城子镇发展绿色鲜食玉米加工，依靠现有仓储条件做大做强玉米仓储、物流运输产业，壮大畜牧业养殖基地，建设长春菜篮子。推动双城堡镇大力发展深加工和订单农业，培育西瓜、粉条、豆制品和芹菜等特色农产品品牌。推动黑林子镇现代养殖业服务体系建设，加快养殖业产业化发展，建设公主岭市肉类“储备库”。推动桑树台镇加快发展现代农业，</w:t>
      </w:r>
      <w:r>
        <w:rPr>
          <w:rFonts w:ascii="仿宋_GB2312" w:eastAsia="仿宋_GB2312" w:hAnsi="仿宋_GB2312" w:cs="仿宋_GB2312" w:hint="eastAsia"/>
          <w:color w:val="000000"/>
          <w:kern w:val="0"/>
          <w:sz w:val="32"/>
          <w:szCs w:val="32"/>
        </w:rPr>
        <w:t>打造中心集镇</w:t>
      </w:r>
      <w:r>
        <w:rPr>
          <w:rFonts w:ascii="仿宋_GB2312" w:eastAsia="仿宋_GB2312" w:hAnsi="仿宋_GB2312" w:cs="仿宋_GB2312" w:hint="eastAsia"/>
          <w:bCs/>
          <w:sz w:val="32"/>
          <w:szCs w:val="32"/>
        </w:rPr>
        <w:t>承载的现代农业综合服务区。</w:t>
      </w:r>
      <w:r>
        <w:rPr>
          <w:rFonts w:ascii="仿宋_GB2312" w:eastAsia="仿宋_GB2312" w:hAnsi="仿宋_GB2312" w:cs="仿宋_GB2312" w:hint="eastAsia"/>
          <w:sz w:val="32"/>
          <w:szCs w:val="32"/>
        </w:rPr>
        <w:t>推动</w:t>
      </w:r>
      <w:r>
        <w:rPr>
          <w:rFonts w:ascii="仿宋_GB2312" w:eastAsia="仿宋_GB2312" w:hAnsi="仿宋_GB2312" w:cs="仿宋_GB2312" w:hint="eastAsia"/>
          <w:bCs/>
          <w:sz w:val="32"/>
          <w:szCs w:val="32"/>
        </w:rPr>
        <w:t>陶家屯镇利用现有铁路专线大</w:t>
      </w:r>
      <w:r>
        <w:rPr>
          <w:rFonts w:ascii="仿宋_GB2312" w:eastAsia="仿宋_GB2312" w:hAnsi="仿宋_GB2312" w:cs="仿宋_GB2312" w:hint="eastAsia"/>
          <w:bCs/>
          <w:sz w:val="32"/>
          <w:szCs w:val="32"/>
        </w:rPr>
        <w:lastRenderedPageBreak/>
        <w:t>力发展物流业，加强与一汽集团合作，打造吉林省汽车运输物流发运中心。</w:t>
      </w:r>
      <w:r w:rsidR="002A36E6">
        <w:rPr>
          <w:rFonts w:ascii="仿宋_GB2312" w:eastAsia="仿宋_GB2312" w:hAnsi="仿宋_GB2312" w:cs="仿宋_GB2312" w:hint="eastAsia"/>
          <w:bCs/>
          <w:sz w:val="32"/>
          <w:szCs w:val="32"/>
        </w:rPr>
        <w:t>推动二十家子镇和龙山乡发挥特色民族乡镇优势，打造特色旅游乡镇。</w:t>
      </w:r>
    </w:p>
    <w:p w14:paraId="3C839D7C" w14:textId="77777777" w:rsidR="00501569" w:rsidRPr="005717BE" w:rsidRDefault="00C74794" w:rsidP="0045498C">
      <w:pPr>
        <w:spacing w:beforeLines="50" w:before="156" w:afterLines="50" w:after="156"/>
        <w:jc w:val="center"/>
        <w:outlineLvl w:val="1"/>
        <w:rPr>
          <w:rFonts w:ascii="楷体_GB2312" w:eastAsia="楷体_GB2312"/>
          <w:b/>
          <w:sz w:val="32"/>
          <w:szCs w:val="32"/>
        </w:rPr>
      </w:pPr>
      <w:bookmarkStart w:id="68" w:name="_Toc18686"/>
      <w:r w:rsidRPr="005717BE">
        <w:rPr>
          <w:rFonts w:ascii="楷体_GB2312" w:eastAsia="楷体_GB2312" w:hint="eastAsia"/>
          <w:b/>
          <w:sz w:val="32"/>
          <w:szCs w:val="32"/>
        </w:rPr>
        <w:t>第二节 提升城市发展质量</w:t>
      </w:r>
      <w:bookmarkEnd w:id="68"/>
    </w:p>
    <w:p w14:paraId="203D6169" w14:textId="77777777" w:rsidR="00501569" w:rsidRDefault="00C74794">
      <w:pPr>
        <w:ind w:firstLineChars="200" w:firstLine="640"/>
        <w:rPr>
          <w:rStyle w:val="fontstyle01"/>
          <w:rFonts w:ascii="仿宋_GB2312" w:eastAsia="仿宋_GB2312" w:hAnsi="仿宋_GB2312" w:cs="仿宋_GB2312"/>
          <w:b/>
          <w:bCs/>
        </w:rPr>
      </w:pPr>
      <w:r>
        <w:rPr>
          <w:rFonts w:ascii="仿宋_GB2312" w:eastAsia="仿宋_GB2312" w:hAnsi="仿宋_GB2312" w:cs="仿宋_GB2312" w:hint="eastAsia"/>
          <w:kern w:val="0"/>
          <w:sz w:val="32"/>
          <w:szCs w:val="32"/>
        </w:rPr>
        <w:t>统筹增强城市设施“硬能力”和城市管理“软实力”，提升人口经济承载和资源优化配置功能，提升城市品质，改变城市面貌，塑造城市精神，建设新型智慧城市，促进城市高质量发展。</w:t>
      </w:r>
    </w:p>
    <w:p w14:paraId="6DCEB7EF" w14:textId="77777777" w:rsidR="00501569" w:rsidRDefault="00C74794">
      <w:pPr>
        <w:pStyle w:val="NewNewNewNewNewNewNewNewNewNewNewNewNewNewNewNewNewNew"/>
        <w:ind w:firstLineChars="200" w:firstLine="643"/>
        <w:rPr>
          <w:rStyle w:val="fontstyle01"/>
          <w:rFonts w:ascii="仿宋_GB2312" w:eastAsia="仿宋_GB2312" w:hAnsi="仿宋_GB2312" w:cs="仿宋_GB2312"/>
          <w:b/>
          <w:bCs/>
        </w:rPr>
      </w:pPr>
      <w:r>
        <w:rPr>
          <w:rStyle w:val="fontstyle01"/>
          <w:rFonts w:ascii="仿宋_GB2312" w:eastAsia="仿宋_GB2312" w:hAnsi="仿宋_GB2312" w:cs="仿宋_GB2312" w:hint="eastAsia"/>
          <w:b/>
          <w:bCs/>
        </w:rPr>
        <w:t>实施城市更新行动。</w:t>
      </w:r>
      <w:r>
        <w:rPr>
          <w:rFonts w:ascii="仿宋_GB2312" w:eastAsia="仿宋_GB2312" w:hAnsi="仿宋_GB2312" w:cs="仿宋_GB2312" w:hint="eastAsia"/>
          <w:sz w:val="32"/>
          <w:szCs w:val="32"/>
        </w:rPr>
        <w:t>加快改造城市老旧小区、街区、厂区和城中村，加强城市绿道、健身步道、自行车道、全民健身中心、体育健身公园、社区健身广场等场地设施建设，畅通城市路网系统。改善小区居住环境，健全生活垃圾分类处理设施，</w:t>
      </w:r>
      <w:r>
        <w:rPr>
          <w:rFonts w:ascii="仿宋_GB2312" w:eastAsia="仿宋_GB2312" w:hAnsi="仿宋_GB2312" w:cs="仿宋_GB2312" w:hint="eastAsia"/>
          <w:color w:val="000000"/>
          <w:sz w:val="32"/>
          <w:szCs w:val="32"/>
        </w:rPr>
        <w:t>到2025年，城市垃圾无害化处理率达到85%以上。推动污水集中处理，到2025年城区污水收集率达到90%以上，处理率达到100%。推动城区排水防涝设施改造，构建城市防洪除涝排水工程体系。</w:t>
      </w:r>
      <w:r>
        <w:rPr>
          <w:rFonts w:ascii="仿宋_GB2312" w:eastAsia="仿宋_GB2312" w:hAnsi="仿宋_GB2312" w:cs="仿宋_GB2312" w:hint="eastAsia"/>
          <w:sz w:val="32"/>
          <w:szCs w:val="32"/>
        </w:rPr>
        <w:t>完善市政管网设施，统筹推进水、雨、污、气、电、暖等地下管网建设，改造城区市政供水老旧管网，推进岭东园区哈沈线管网、市政管网铺设，建设海绵城市、韧性城市。提升城市治理水平，推动城市政府向服务型转变、治理方式向精细化转型、配套资源向街道社区下沉</w:t>
      </w:r>
      <w:r>
        <w:rPr>
          <w:rFonts w:ascii="仿宋_GB2312" w:eastAsia="仿宋_GB2312" w:hAnsi="仿宋_GB2312" w:cs="仿宋_GB2312" w:hint="eastAsia"/>
          <w:kern w:val="0"/>
          <w:sz w:val="32"/>
          <w:szCs w:val="32"/>
        </w:rPr>
        <w:t>。</w:t>
      </w:r>
    </w:p>
    <w:p w14:paraId="2E732DE8" w14:textId="77777777" w:rsidR="00501569" w:rsidRDefault="00C74794">
      <w:pPr>
        <w:ind w:firstLine="660"/>
        <w:rPr>
          <w:rStyle w:val="fontstyle01"/>
          <w:rFonts w:ascii="仿宋_GB2312" w:eastAsia="仿宋_GB2312" w:hAnsi="仿宋_GB2312" w:cs="仿宋_GB2312"/>
          <w:b/>
          <w:bCs/>
        </w:rPr>
      </w:pPr>
      <w:r>
        <w:rPr>
          <w:rStyle w:val="fontstyle01"/>
          <w:rFonts w:ascii="仿宋_GB2312" w:eastAsia="仿宋_GB2312" w:hAnsi="仿宋_GB2312" w:cs="仿宋_GB2312" w:hint="eastAsia"/>
          <w:b/>
          <w:bCs/>
        </w:rPr>
        <w:t>建设新型智慧城市。</w:t>
      </w:r>
      <w:r>
        <w:rPr>
          <w:rFonts w:ascii="仿宋_GB2312" w:eastAsia="仿宋_GB2312" w:hAnsi="仿宋_GB2312" w:cs="仿宋_GB2312" w:hint="eastAsia"/>
          <w:sz w:val="32"/>
          <w:szCs w:val="32"/>
        </w:rPr>
        <w:t>全面加快“</w:t>
      </w:r>
      <w:r w:rsidR="0024493E">
        <w:rPr>
          <w:rFonts w:ascii="仿宋_GB2312" w:eastAsia="仿宋_GB2312" w:hAnsi="仿宋_GB2312" w:cs="仿宋_GB2312" w:hint="eastAsia"/>
          <w:sz w:val="32"/>
          <w:szCs w:val="32"/>
        </w:rPr>
        <w:t>数字</w:t>
      </w:r>
      <w:r>
        <w:rPr>
          <w:rFonts w:ascii="仿宋_GB2312" w:eastAsia="仿宋_GB2312" w:hAnsi="仿宋_GB2312" w:cs="仿宋_GB2312" w:hint="eastAsia"/>
          <w:sz w:val="32"/>
          <w:szCs w:val="32"/>
        </w:rPr>
        <w:t>公主岭”建设，推</w:t>
      </w:r>
      <w:r>
        <w:rPr>
          <w:rFonts w:ascii="仿宋_GB2312" w:eastAsia="仿宋_GB2312" w:hAnsi="仿宋_GB2312" w:cs="仿宋_GB2312" w:hint="eastAsia"/>
          <w:sz w:val="32"/>
          <w:szCs w:val="32"/>
        </w:rPr>
        <w:lastRenderedPageBreak/>
        <w:t>进建设公主岭市电子政务外网、数字化综合服务平台（</w:t>
      </w:r>
      <w:r w:rsidR="0024493E">
        <w:rPr>
          <w:rFonts w:ascii="仿宋_GB2312" w:eastAsia="仿宋_GB2312" w:hAnsi="仿宋_GB2312" w:cs="仿宋_GB2312" w:hint="eastAsia"/>
          <w:sz w:val="32"/>
          <w:szCs w:val="32"/>
        </w:rPr>
        <w:t>城市智脑</w:t>
      </w:r>
      <w:r>
        <w:rPr>
          <w:rFonts w:ascii="仿宋_GB2312" w:eastAsia="仿宋_GB2312" w:hAnsi="仿宋_GB2312" w:cs="仿宋_GB2312" w:hint="eastAsia"/>
          <w:sz w:val="32"/>
          <w:szCs w:val="32"/>
        </w:rPr>
        <w:t>）、城区排水防涝改造工程数字化平台、三农信息服务中心、生态环境智慧监控系统工程。加快建设</w:t>
      </w:r>
      <w:r w:rsidR="0024493E">
        <w:rPr>
          <w:rFonts w:ascii="仿宋_GB2312" w:eastAsia="仿宋_GB2312" w:hAnsi="仿宋_GB2312" w:cs="仿宋_GB2312" w:hint="eastAsia"/>
          <w:sz w:val="32"/>
          <w:szCs w:val="32"/>
        </w:rPr>
        <w:t>数字</w:t>
      </w:r>
      <w:r>
        <w:rPr>
          <w:rFonts w:ascii="仿宋_GB2312" w:eastAsia="仿宋_GB2312" w:hAnsi="仿宋_GB2312" w:cs="仿宋_GB2312" w:hint="eastAsia"/>
          <w:sz w:val="32"/>
          <w:szCs w:val="32"/>
        </w:rPr>
        <w:t>城管、</w:t>
      </w:r>
      <w:r w:rsidR="0024493E">
        <w:rPr>
          <w:rFonts w:ascii="仿宋_GB2312" w:eastAsia="仿宋_GB2312" w:hAnsi="仿宋_GB2312" w:cs="仿宋_GB2312" w:hint="eastAsia"/>
          <w:sz w:val="32"/>
          <w:szCs w:val="32"/>
        </w:rPr>
        <w:t>数字</w:t>
      </w:r>
      <w:r>
        <w:rPr>
          <w:rFonts w:ascii="仿宋_GB2312" w:eastAsia="仿宋_GB2312" w:hAnsi="仿宋_GB2312" w:cs="仿宋_GB2312" w:hint="eastAsia"/>
          <w:sz w:val="32"/>
          <w:szCs w:val="32"/>
        </w:rPr>
        <w:t>医疗、</w:t>
      </w:r>
      <w:r w:rsidR="0024493E">
        <w:rPr>
          <w:rFonts w:ascii="仿宋_GB2312" w:eastAsia="仿宋_GB2312" w:hAnsi="仿宋_GB2312" w:cs="仿宋_GB2312" w:hint="eastAsia"/>
          <w:sz w:val="32"/>
          <w:szCs w:val="32"/>
        </w:rPr>
        <w:t>数字</w:t>
      </w:r>
      <w:r>
        <w:rPr>
          <w:rFonts w:ascii="仿宋_GB2312" w:eastAsia="仿宋_GB2312" w:hAnsi="仿宋_GB2312" w:cs="仿宋_GB2312" w:hint="eastAsia"/>
          <w:sz w:val="32"/>
          <w:szCs w:val="32"/>
        </w:rPr>
        <w:t>食安、</w:t>
      </w:r>
      <w:r w:rsidR="0024493E">
        <w:rPr>
          <w:rFonts w:ascii="仿宋_GB2312" w:eastAsia="仿宋_GB2312" w:hAnsi="仿宋_GB2312" w:cs="仿宋_GB2312" w:hint="eastAsia"/>
          <w:sz w:val="32"/>
          <w:szCs w:val="32"/>
        </w:rPr>
        <w:t>数字</w:t>
      </w:r>
      <w:r>
        <w:rPr>
          <w:rFonts w:ascii="仿宋_GB2312" w:eastAsia="仿宋_GB2312" w:hAnsi="仿宋_GB2312" w:cs="仿宋_GB2312" w:hint="eastAsia"/>
          <w:sz w:val="32"/>
          <w:szCs w:val="32"/>
        </w:rPr>
        <w:t>水利、</w:t>
      </w:r>
      <w:r w:rsidR="0024493E">
        <w:rPr>
          <w:rFonts w:ascii="仿宋_GB2312" w:eastAsia="仿宋_GB2312" w:hAnsi="仿宋_GB2312" w:cs="仿宋_GB2312" w:hint="eastAsia"/>
          <w:sz w:val="32"/>
          <w:szCs w:val="32"/>
        </w:rPr>
        <w:t>数字</w:t>
      </w:r>
      <w:r>
        <w:rPr>
          <w:rFonts w:ascii="仿宋_GB2312" w:eastAsia="仿宋_GB2312" w:hAnsi="仿宋_GB2312" w:cs="仿宋_GB2312" w:hint="eastAsia"/>
          <w:sz w:val="32"/>
          <w:szCs w:val="32"/>
        </w:rPr>
        <w:t>教育等数字化项目，实现各类数字化应用平台与数字化综合服务平台对接，形成高效、协同的城市公共管理体系。</w:t>
      </w:r>
      <w:r>
        <w:rPr>
          <w:rStyle w:val="fontstyle01"/>
          <w:rFonts w:ascii="仿宋_GB2312" w:eastAsia="仿宋_GB2312" w:hAnsi="仿宋_GB2312" w:cs="仿宋_GB2312" w:hint="eastAsia"/>
        </w:rPr>
        <w:t>以同城化发展为契机，与长春市统筹建设信息基础设施，共同搭建信息网络、电子政务、公共信息、企业信息、电子商务等信息化平台，推动两市间信息资源共享。</w:t>
      </w:r>
    </w:p>
    <w:p w14:paraId="13B4EE48" w14:textId="77777777" w:rsidR="00501569" w:rsidRDefault="00C74794" w:rsidP="0045498C">
      <w:pPr>
        <w:widowControl/>
        <w:spacing w:afterLines="50" w:after="156"/>
        <w:ind w:firstLine="658"/>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推进城市安全发展。</w:t>
      </w:r>
      <w:r>
        <w:rPr>
          <w:rFonts w:ascii="仿宋_GB2312" w:eastAsia="仿宋_GB2312" w:hAnsi="仿宋_GB2312" w:cs="仿宋_GB2312" w:hint="eastAsia"/>
          <w:sz w:val="32"/>
          <w:szCs w:val="32"/>
        </w:rPr>
        <w:t>加强城市交通、供水、排水防涝、供电、污水、垃圾处理等基础设施和市政配套设施安全监督、管理、运行，严格落实安全防范措施。加强城市安全源头治理，推进居民生活区、商业区、学校、医院等人员密集场所与易燃易爆、有毒有害物质生产、储存区域保持足够安全距离。推动高层建筑物、体育场馆以及涵洞、桥梁等大型建筑科学设置安全防护和应急避险设施。推进企业安全生产标准化建设，提升安全生产管理水平。深化城市隐患排查治理，加强广告牌、灯箱和楼房外墙附着物管理，强化城市隧道、桥梁、易积水路段等道路交通安全问题治理，开展老旧房屋安全隐患排查和老旧城区火灾隐患整治。</w:t>
      </w:r>
    </w:p>
    <w:tbl>
      <w:tblPr>
        <w:tblW w:w="8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9"/>
      </w:tblGrid>
      <w:tr w:rsidR="00501569" w14:paraId="7CD2C80B" w14:textId="77777777">
        <w:tc>
          <w:tcPr>
            <w:tcW w:w="8429" w:type="dxa"/>
          </w:tcPr>
          <w:p w14:paraId="1F260132" w14:textId="77777777" w:rsidR="00501569" w:rsidRDefault="00C74794">
            <w:pPr>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专栏</w:t>
            </w:r>
            <w:r>
              <w:rPr>
                <w:rFonts w:ascii="楷体_GB2312" w:eastAsia="楷体_GB2312" w:hAnsi="楷体_GB2312" w:cs="楷体_GB2312"/>
                <w:b/>
                <w:bCs/>
                <w:sz w:val="28"/>
                <w:szCs w:val="28"/>
              </w:rPr>
              <w:t>11</w:t>
            </w:r>
            <w:r>
              <w:rPr>
                <w:rFonts w:ascii="楷体_GB2312" w:eastAsia="楷体_GB2312" w:hAnsi="楷体_GB2312" w:cs="楷体_GB2312" w:hint="eastAsia"/>
                <w:b/>
                <w:bCs/>
                <w:sz w:val="28"/>
                <w:szCs w:val="28"/>
              </w:rPr>
              <w:t>：城市建设管理重点项目</w:t>
            </w:r>
          </w:p>
          <w:p w14:paraId="1008A81E" w14:textId="77777777" w:rsidR="00501569" w:rsidRDefault="00C74794">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lastRenderedPageBreak/>
              <w:t>市政设施：</w:t>
            </w:r>
            <w:r>
              <w:rPr>
                <w:rFonts w:ascii="宋体" w:eastAsia="宋体" w:hAnsi="宋体" w:cs="宋体" w:hint="eastAsia"/>
                <w:szCs w:val="21"/>
              </w:rPr>
              <w:t>推进建设公主岭市建筑垃圾处理及利用、公主岭市固体废弃物处理、公主岭市餐厨垃圾处理处置、公主岭市污水回用（中水）、公主岭市朝阳坡等六乡镇污水处理设施、岭东工业集中区污水处理厂、公主岭市城区给排水设施、公主岭市城区排水防涝改造、公主岭市城区市政供水老旧管网改造、公主岭市岭西八路（公主大街—铁路北）污水管线改造等工程项目。</w:t>
            </w:r>
          </w:p>
          <w:p w14:paraId="37264F48" w14:textId="77777777" w:rsidR="00501569" w:rsidRDefault="00C74794">
            <w:pPr>
              <w:widowControl/>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市政交通：</w:t>
            </w:r>
            <w:r>
              <w:rPr>
                <w:rFonts w:ascii="宋体" w:eastAsia="宋体" w:hAnsi="宋体" w:cs="宋体" w:hint="eastAsia"/>
                <w:szCs w:val="21"/>
              </w:rPr>
              <w:t>推进建设公主岭南站客运枢纽、</w:t>
            </w:r>
            <w:r>
              <w:rPr>
                <w:rFonts w:ascii="宋体" w:eastAsia="宋体" w:hAnsi="宋体" w:cs="宋体" w:hint="eastAsia"/>
                <w:kern w:val="0"/>
                <w:szCs w:val="21"/>
                <w:lang w:val="zh-CN"/>
              </w:rPr>
              <w:t>公主岭市人行天桥、公主岭市</w:t>
            </w:r>
            <w:r w:rsidR="00BA7663">
              <w:rPr>
                <w:rFonts w:ascii="宋体" w:eastAsia="宋体" w:hAnsi="宋体" w:cs="宋体" w:hint="eastAsia"/>
                <w:kern w:val="0"/>
                <w:szCs w:val="21"/>
                <w:lang w:val="zh-CN"/>
              </w:rPr>
              <w:t>岭东路（科贸大街</w:t>
            </w:r>
            <w:r w:rsidR="00BA7663">
              <w:rPr>
                <w:rFonts w:ascii="宋体" w:eastAsia="宋体" w:hAnsi="宋体" w:cs="宋体"/>
                <w:kern w:val="0"/>
                <w:szCs w:val="21"/>
                <w:lang w:val="zh-CN"/>
              </w:rPr>
              <w:t>—</w:t>
            </w:r>
            <w:r w:rsidR="00BA7663">
              <w:rPr>
                <w:rFonts w:ascii="宋体" w:eastAsia="宋体" w:hAnsi="宋体" w:cs="宋体" w:hint="eastAsia"/>
                <w:kern w:val="0"/>
                <w:szCs w:val="21"/>
                <w:lang w:val="zh-CN"/>
              </w:rPr>
              <w:t>老102国道）</w:t>
            </w:r>
            <w:r>
              <w:rPr>
                <w:rFonts w:ascii="宋体" w:eastAsia="宋体" w:hAnsi="宋体" w:cs="宋体" w:hint="eastAsia"/>
                <w:kern w:val="0"/>
                <w:szCs w:val="21"/>
                <w:lang w:val="zh-CN"/>
              </w:rPr>
              <w:t>道路翻建、</w:t>
            </w:r>
            <w:r>
              <w:rPr>
                <w:rFonts w:ascii="宋体" w:eastAsia="宋体" w:hAnsi="宋体" w:cs="宋体" w:hint="eastAsia"/>
                <w:szCs w:val="21"/>
              </w:rPr>
              <w:t>公主岭市高速口停车场、三馆停车场等工程项目。</w:t>
            </w:r>
          </w:p>
          <w:p w14:paraId="53BC4277" w14:textId="77777777" w:rsidR="00501569" w:rsidRDefault="00BA7663">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rPr>
              <w:t>棚户区和</w:t>
            </w:r>
            <w:r w:rsidR="00C74794">
              <w:rPr>
                <w:rFonts w:ascii="宋体" w:eastAsia="宋体" w:hAnsi="宋体" w:cs="宋体" w:hint="eastAsia"/>
                <w:b/>
                <w:bCs/>
                <w:szCs w:val="21"/>
              </w:rPr>
              <w:t>老旧小区更新改造：</w:t>
            </w:r>
            <w:r w:rsidR="00C74794">
              <w:rPr>
                <w:rFonts w:ascii="宋体" w:eastAsia="宋体" w:hAnsi="宋体" w:cs="宋体" w:hint="eastAsia"/>
                <w:szCs w:val="21"/>
              </w:rPr>
              <w:t>推进建设公主岭市老旧小区改造、</w:t>
            </w:r>
            <w:r>
              <w:rPr>
                <w:rFonts w:ascii="宋体" w:eastAsia="宋体" w:hAnsi="宋体" w:cs="宋体" w:hint="eastAsia"/>
                <w:szCs w:val="21"/>
              </w:rPr>
              <w:t>建成区</w:t>
            </w:r>
            <w:r w:rsidR="00C74794">
              <w:rPr>
                <w:rFonts w:ascii="宋体" w:eastAsia="宋体" w:hAnsi="宋体" w:cs="宋体" w:hint="eastAsia"/>
                <w:szCs w:val="21"/>
              </w:rPr>
              <w:t>棚户区改造、公主岭市三道口地块棚户区改造、公主岭市老旧小区基础设施改造。</w:t>
            </w:r>
          </w:p>
          <w:p w14:paraId="784EA9BE" w14:textId="77777777" w:rsidR="00501569" w:rsidRDefault="00C74794" w:rsidP="0045498C">
            <w:pPr>
              <w:adjustRightInd w:val="0"/>
              <w:snapToGrid w:val="0"/>
              <w:spacing w:beforeLines="25" w:before="78" w:line="360" w:lineRule="auto"/>
              <w:ind w:firstLineChars="200" w:firstLine="422"/>
              <w:jc w:val="center"/>
              <w:rPr>
                <w:rFonts w:ascii="楷体_GB2312" w:eastAsia="楷体_GB2312" w:hAnsi="楷体_GB2312" w:cs="楷体_GB2312"/>
                <w:b/>
                <w:sz w:val="28"/>
                <w:szCs w:val="28"/>
              </w:rPr>
            </w:pPr>
            <w:r>
              <w:rPr>
                <w:rFonts w:ascii="宋体" w:eastAsia="宋体" w:hAnsi="宋体" w:cs="宋体" w:hint="eastAsia"/>
                <w:b/>
                <w:bCs/>
                <w:szCs w:val="21"/>
              </w:rPr>
              <w:t>新型智慧城市:</w:t>
            </w:r>
            <w:r>
              <w:rPr>
                <w:rFonts w:ascii="宋体" w:eastAsia="宋体" w:hAnsi="宋体" w:cs="宋体" w:hint="eastAsia"/>
                <w:szCs w:val="21"/>
              </w:rPr>
              <w:t>推进建设</w:t>
            </w:r>
            <w:r w:rsidR="0024493E">
              <w:rPr>
                <w:rFonts w:ascii="宋体" w:eastAsia="宋体" w:hAnsi="宋体" w:cs="宋体" w:hint="eastAsia"/>
                <w:szCs w:val="21"/>
              </w:rPr>
              <w:t>数字</w:t>
            </w:r>
            <w:r>
              <w:rPr>
                <w:rFonts w:ascii="宋体" w:eastAsia="宋体" w:hAnsi="宋体" w:cs="宋体" w:hint="eastAsia"/>
                <w:szCs w:val="21"/>
              </w:rPr>
              <w:t>公主岭、5G基础设施、公主岭市生态环境智慧监控系统、东辽河信息化、智能市政、公主岭市营运车辆监控调度管理服务平台升级改造等工程项目。</w:t>
            </w:r>
          </w:p>
        </w:tc>
      </w:tr>
    </w:tbl>
    <w:p w14:paraId="3D514F19" w14:textId="77777777" w:rsidR="00501569" w:rsidRPr="005717BE" w:rsidRDefault="00C74794" w:rsidP="0045498C">
      <w:pPr>
        <w:spacing w:beforeLines="80" w:before="249" w:afterLines="50" w:after="156"/>
        <w:jc w:val="center"/>
        <w:outlineLvl w:val="1"/>
        <w:rPr>
          <w:rFonts w:ascii="楷体_GB2312" w:eastAsia="楷体_GB2312"/>
          <w:b/>
          <w:sz w:val="32"/>
          <w:szCs w:val="32"/>
        </w:rPr>
      </w:pPr>
      <w:bookmarkStart w:id="69" w:name="_Toc29196"/>
      <w:r w:rsidRPr="005717BE">
        <w:rPr>
          <w:rFonts w:ascii="楷体_GB2312" w:eastAsia="楷体_GB2312" w:hint="eastAsia"/>
          <w:b/>
          <w:sz w:val="32"/>
          <w:szCs w:val="32"/>
        </w:rPr>
        <w:lastRenderedPageBreak/>
        <w:t>第三节 加快建设特色产业小镇</w:t>
      </w:r>
      <w:bookmarkEnd w:id="69"/>
    </w:p>
    <w:p w14:paraId="73544AB8" w14:textId="77777777" w:rsidR="00501569" w:rsidRDefault="00C74794">
      <w:pPr>
        <w:pStyle w:val="a3"/>
        <w:spacing w:after="0"/>
        <w:ind w:leftChars="0" w:left="0" w:firstLineChars="200" w:firstLine="636"/>
        <w:jc w:val="left"/>
        <w:rPr>
          <w:rFonts w:ascii="仿宋_GB2312" w:eastAsia="仿宋_GB2312" w:hAnsi="仿宋_GB2312" w:cs="仿宋_GB2312"/>
          <w:color w:val="000000"/>
          <w:spacing w:val="-1"/>
          <w:sz w:val="32"/>
          <w:szCs w:val="32"/>
        </w:rPr>
      </w:pPr>
      <w:r>
        <w:rPr>
          <w:rFonts w:ascii="仿宋_GB2312" w:eastAsia="仿宋_GB2312" w:hAnsi="仿宋_GB2312" w:cs="仿宋_GB2312" w:hint="eastAsia"/>
          <w:color w:val="000000"/>
          <w:spacing w:val="-1"/>
          <w:sz w:val="32"/>
          <w:szCs w:val="32"/>
        </w:rPr>
        <w:t>依托汽车、农产品加工等特色产业，打造一批特色产业小镇，科学规划生产、生活、生态空间，促进产城人文融合发展，加快培育县域经济新的增长点。建设大岭汽车物流小镇，发展汽车物流、仓储物流、商贸物流，建设现代化综合物流基地。拓展汽车零部件生产，吸引省内外有实力的汽车零部件企业落户，引进以电池、电机、电控“三电”系统为主的新能源汽车企业，引进大学、医院等服务设施，建设商贸、休闲养老和服务业基地。建设迎新鲜食玉米小镇，以国家农业科技园区迎新产业园为平台，开展高科技育种，形成集鲜食玉米种业、标准化种植、玉米食品加工、秸秆资源化利用、仓储物流、流通销售、双创孵化等为一体的一二三产融合发展的鲜食玉米产业链条。建设怀德铸锻件产业小镇，</w:t>
      </w:r>
      <w:r>
        <w:rPr>
          <w:rFonts w:ascii="仿宋_GB2312" w:eastAsia="仿宋_GB2312" w:hAnsi="仿宋_GB2312" w:cs="仿宋_GB2312" w:hint="eastAsia"/>
          <w:color w:val="000000"/>
          <w:spacing w:val="-1"/>
          <w:sz w:val="32"/>
          <w:szCs w:val="32"/>
        </w:rPr>
        <w:lastRenderedPageBreak/>
        <w:t>依托怀德工业集中区汽车铸锻件产业园区，以博镪、铸铭、德宇等铸锻件企业为基础，大力发展汽车零部件等附加价值高、发展潜力大、易于形成集群的配套产业，建设以生产汽车铸锻件、铸锻件精深加工及部件制造为核心的绿色铸锻件生产基地。谋划创建食品产业小镇、种子小镇、医药小镇。</w:t>
      </w:r>
    </w:p>
    <w:p w14:paraId="03C3707B"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70" w:name="_Toc29760"/>
      <w:r w:rsidRPr="005717BE">
        <w:rPr>
          <w:rFonts w:ascii="楷体_GB2312" w:eastAsia="楷体_GB2312" w:hAnsi="楷体_GB2312" w:cs="楷体_GB2312" w:hint="eastAsia"/>
          <w:b/>
          <w:bCs/>
          <w:sz w:val="32"/>
          <w:szCs w:val="32"/>
        </w:rPr>
        <w:t>第四节 有序</w:t>
      </w:r>
      <w:r w:rsidRPr="005717BE">
        <w:rPr>
          <w:rFonts w:ascii="楷体_GB2312" w:eastAsia="楷体_GB2312" w:hAnsi="楷体_GB2312" w:cs="楷体_GB2312"/>
          <w:b/>
          <w:bCs/>
          <w:sz w:val="32"/>
          <w:szCs w:val="32"/>
        </w:rPr>
        <w:t>推进农业转移人口市民化</w:t>
      </w:r>
      <w:bookmarkEnd w:id="70"/>
    </w:p>
    <w:p w14:paraId="7BBEC711" w14:textId="77777777" w:rsidR="00501569" w:rsidRDefault="00C74794">
      <w:pPr>
        <w:ind w:firstLineChars="200" w:firstLine="640"/>
        <w:rPr>
          <w:rStyle w:val="fontstyle01"/>
          <w:rFonts w:ascii="仿宋_GB2312" w:eastAsia="仿宋_GB2312" w:hAnsi="仿宋_GB2312" w:cs="仿宋_GB2312"/>
        </w:rPr>
      </w:pPr>
      <w:r>
        <w:rPr>
          <w:rFonts w:ascii="仿宋_GB2312" w:eastAsia="仿宋_GB2312" w:hAnsi="仿宋_GB2312" w:cs="仿宋_GB2312" w:hint="eastAsia"/>
          <w:bCs/>
          <w:sz w:val="32"/>
          <w:szCs w:val="32"/>
        </w:rPr>
        <w:t>按照尊重自愿、自主选择、存量优先、带动增量的原则，</w:t>
      </w:r>
      <w:r>
        <w:rPr>
          <w:rStyle w:val="fontstyle01"/>
          <w:rFonts w:ascii="仿宋_GB2312" w:eastAsia="仿宋_GB2312" w:hAnsi="仿宋_GB2312" w:cs="仿宋_GB2312" w:hint="eastAsia"/>
        </w:rPr>
        <w:t>统筹推进户籍制度改革，</w:t>
      </w:r>
      <w:r>
        <w:rPr>
          <w:rFonts w:ascii="仿宋_GB2312" w:eastAsia="仿宋_GB2312" w:hAnsi="仿宋_GB2312" w:cs="仿宋_GB2312" w:hint="eastAsia"/>
          <w:sz w:val="32"/>
          <w:szCs w:val="32"/>
        </w:rPr>
        <w:t>加快推进义务教育、就业服务、基本养老、基本医疗卫生、住房保障等城镇基本公共服务覆盖常住人口，促进有能力在城镇稳定就业和生活的农业转移人口有序实现市民化。</w:t>
      </w:r>
    </w:p>
    <w:p w14:paraId="60E7D3B4"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深入推进户籍管理制度改革。</w:t>
      </w:r>
      <w:r>
        <w:rPr>
          <w:rFonts w:ascii="仿宋_GB2312" w:eastAsia="仿宋_GB2312" w:hAnsi="仿宋_GB2312" w:cs="仿宋_GB2312" w:hint="eastAsia"/>
          <w:sz w:val="32"/>
          <w:szCs w:val="32"/>
        </w:rPr>
        <w:t>落实分类户口迁移政策，引导农村学生升学、参军进入城镇、在城镇居住就业5年以上、举家迁徙的农业转移人口以及新生代农民工等重点群体有序到城区和重点城镇落户。丰富完善针对优质劳动力、实用型技术人才等群体的落户政策，降低户口准入门槛、细化执行标准，去除阻碍人口迁移的“玻璃门”。全面实行居住证制度，保障居住证持有人在劳动就业、公共教育、医疗卫生、公共文化、证照办理等方面与当地居民享受同等待遇，促进农业转移人口全方位融入城镇。推行居住证办理绿色通道，确保符合居住证办理条件的未落户常住人口在最短时间内领取居住证，及时享受居住证持有人享有的各项基本公共服</w:t>
      </w:r>
      <w:r>
        <w:rPr>
          <w:rFonts w:ascii="仿宋_GB2312" w:eastAsia="仿宋_GB2312" w:hAnsi="仿宋_GB2312" w:cs="仿宋_GB2312" w:hint="eastAsia"/>
          <w:sz w:val="32"/>
          <w:szCs w:val="32"/>
        </w:rPr>
        <w:lastRenderedPageBreak/>
        <w:t>务和便利。</w:t>
      </w:r>
    </w:p>
    <w:p w14:paraId="38B19C66"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推进常住人口基本公共服务全覆盖。</w:t>
      </w:r>
      <w:r>
        <w:rPr>
          <w:rFonts w:ascii="仿宋_GB2312" w:eastAsia="仿宋_GB2312" w:hAnsi="仿宋_GB2312" w:cs="仿宋_GB2312" w:hint="eastAsia"/>
          <w:sz w:val="32"/>
          <w:szCs w:val="32"/>
        </w:rPr>
        <w:t>将农业转移人口纳入社区公共卫生服务体系，提供基本公共卫生服务和基本医疗服务。深化统筹城乡养老保险制度改革，加快统一城乡居民养老保险制度进程，整合城乡居民医疗保险制度。全面落实城乡养老保险衔接、进城落户农民参加养老保险、流动就业人员医疗保障关系转移接续政策，把进城落户农民完全纳入城镇社会保障体系。</w:t>
      </w:r>
      <w:r>
        <w:rPr>
          <w:rFonts w:ascii="仿宋_GB2312" w:eastAsia="仿宋_GB2312" w:hAnsi="仿宋_GB2312" w:cs="仿宋_GB2312" w:hint="eastAsia"/>
          <w:color w:val="000000"/>
          <w:sz w:val="32"/>
          <w:szCs w:val="32"/>
        </w:rPr>
        <w:t>坚持以流入地为主，将农业转移人口纳入区域教育发展规划</w:t>
      </w:r>
      <w:r>
        <w:rPr>
          <w:rFonts w:ascii="仿宋_GB2312" w:eastAsia="仿宋_GB2312" w:hAnsi="仿宋_GB2312" w:cs="仿宋_GB2312" w:hint="eastAsia"/>
          <w:sz w:val="32"/>
          <w:szCs w:val="32"/>
        </w:rPr>
        <w:t>,推动以公办学校为主安排随迁子女就学，保障接受义务教育后学生在流入地参加升学考试。</w:t>
      </w:r>
      <w:r>
        <w:rPr>
          <w:rFonts w:ascii="仿宋_GB2312" w:eastAsia="仿宋_GB2312" w:hAnsi="仿宋_GB2312" w:cs="仿宋_GB2312" w:hint="eastAsia"/>
          <w:color w:val="000000"/>
          <w:sz w:val="32"/>
          <w:szCs w:val="32"/>
        </w:rPr>
        <w:t>对已在城镇落户的农民给予和城镇居民同等的住房保障。</w:t>
      </w:r>
    </w:p>
    <w:p w14:paraId="10C9C023" w14:textId="77777777" w:rsidR="00501569" w:rsidRDefault="00C74794">
      <w:pPr>
        <w:ind w:firstLineChars="200" w:firstLine="643"/>
        <w:jc w:val="left"/>
        <w:rPr>
          <w:rFonts w:ascii="仿宋_GB2312" w:eastAsia="仿宋_GB2312" w:hAnsi="仿宋_GB2312" w:cs="仿宋_GB2312"/>
          <w:sz w:val="32"/>
          <w:szCs w:val="32"/>
        </w:rPr>
      </w:pPr>
      <w:bookmarkStart w:id="71" w:name="_Toc536127055"/>
      <w:r>
        <w:rPr>
          <w:rFonts w:ascii="仿宋_GB2312" w:eastAsia="仿宋_GB2312" w:hAnsi="仿宋_GB2312" w:cs="仿宋_GB2312" w:hint="eastAsia"/>
          <w:b/>
          <w:sz w:val="32"/>
          <w:szCs w:val="32"/>
        </w:rPr>
        <w:t>完善市民化激励机制</w:t>
      </w:r>
      <w:bookmarkEnd w:id="71"/>
      <w:r>
        <w:rPr>
          <w:rFonts w:ascii="仿宋_GB2312" w:eastAsia="仿宋_GB2312" w:hAnsi="仿宋_GB2312" w:cs="仿宋_GB2312" w:hint="eastAsia"/>
          <w:b/>
          <w:sz w:val="32"/>
          <w:szCs w:val="32"/>
        </w:rPr>
        <w:t>。</w:t>
      </w:r>
      <w:r>
        <w:rPr>
          <w:rFonts w:ascii="仿宋_GB2312" w:eastAsia="仿宋_GB2312" w:hAnsi="仿宋_GB2312" w:cs="仿宋_GB2312" w:hint="eastAsia"/>
          <w:sz w:val="32"/>
          <w:szCs w:val="32"/>
        </w:rPr>
        <w:t>维护进城落户农民土地承包权、宅基地使用权、集体收益分配权，引导进城落户农民依法自愿有偿转让上述权益。加快户口变动与农村“三权”脱钩，不以退出“三权”作为农民进城落户的条件，促使有条件的农业转移人口放心落户城镇。强化“三挂钩”激励机制，切实落实财政转移支付、城镇建设用地、预算内投资安排与吸纳农业转移人口落户数量挂钩政策，健全由政府、企业、个人共同参与的市民化成本分担机制。</w:t>
      </w:r>
    </w:p>
    <w:p w14:paraId="26DCB258"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72" w:name="_Toc22011"/>
      <w:r w:rsidRPr="005717BE">
        <w:rPr>
          <w:rFonts w:ascii="楷体_GB2312" w:eastAsia="楷体_GB2312" w:hAnsi="楷体_GB2312" w:cs="楷体_GB2312" w:hint="eastAsia"/>
          <w:b/>
          <w:bCs/>
          <w:sz w:val="32"/>
          <w:szCs w:val="32"/>
        </w:rPr>
        <w:t>第五节 促进城乡融合发展</w:t>
      </w:r>
      <w:bookmarkEnd w:id="72"/>
    </w:p>
    <w:p w14:paraId="7BB29336" w14:textId="77777777" w:rsidR="00501569" w:rsidRDefault="00C74794">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坚持新型城镇化和乡村振兴两手抓，突出以城带乡、</w:t>
      </w:r>
      <w:r>
        <w:rPr>
          <w:rFonts w:ascii="仿宋_GB2312" w:eastAsia="仿宋_GB2312" w:hAnsi="仿宋_GB2312" w:cs="仿宋_GB2312" w:hint="eastAsia"/>
          <w:sz w:val="32"/>
          <w:szCs w:val="32"/>
        </w:rPr>
        <w:lastRenderedPageBreak/>
        <w:t>以工促农，建立健全城乡融合发展体制机制和政策体系，推动城乡要素自由流动、平等交换，着力打造全省乃至国家城乡融合发展示范区。</w:t>
      </w:r>
    </w:p>
    <w:p w14:paraId="0CC67622" w14:textId="77777777" w:rsidR="00501569" w:rsidRDefault="00C74794">
      <w:pPr>
        <w:ind w:firstLineChars="200" w:firstLine="643"/>
        <w:jc w:val="left"/>
        <w:rPr>
          <w:rFonts w:ascii="仿宋_GB2312" w:eastAsia="仿宋_GB2312" w:hAnsi="仿宋_GB2312" w:cs="仿宋_GB2312"/>
          <w:bCs/>
          <w:sz w:val="32"/>
          <w:szCs w:val="32"/>
        </w:rPr>
      </w:pPr>
      <w:r>
        <w:rPr>
          <w:rFonts w:ascii="仿宋_GB2312" w:eastAsia="仿宋_GB2312" w:hAnsi="仿宋_GB2312" w:cs="仿宋_GB2312" w:hint="eastAsia"/>
          <w:b/>
          <w:bCs/>
          <w:sz w:val="32"/>
          <w:szCs w:val="32"/>
        </w:rPr>
        <w:t>推进城乡人才合作交流。</w:t>
      </w:r>
      <w:r>
        <w:rPr>
          <w:rFonts w:ascii="仿宋_GB2312" w:eastAsia="仿宋_GB2312" w:hAnsi="仿宋_GB2312" w:cs="仿宋_GB2312" w:hint="eastAsia"/>
          <w:sz w:val="32"/>
          <w:szCs w:val="32"/>
        </w:rPr>
        <w:t>鼓励城市人才返乡入乡，引导</w:t>
      </w:r>
      <w:r>
        <w:rPr>
          <w:rFonts w:ascii="仿宋_GB2312" w:eastAsia="仿宋_GB2312" w:hAnsi="仿宋_GB2312" w:cs="仿宋_GB2312" w:hint="eastAsia"/>
          <w:bCs/>
          <w:sz w:val="32"/>
          <w:szCs w:val="32"/>
        </w:rPr>
        <w:t>农民工、经商人员、农村籍高校毕业生回乡就业创业，鼓励高校毕业生到农村任职，</w:t>
      </w:r>
      <w:r>
        <w:rPr>
          <w:rFonts w:ascii="仿宋_GB2312" w:eastAsia="仿宋_GB2312" w:hAnsi="仿宋_GB2312" w:cs="仿宋_GB2312" w:hint="eastAsia"/>
          <w:sz w:val="32"/>
          <w:szCs w:val="32"/>
        </w:rPr>
        <w:t>允许符合要求的公职人员回乡任职。推动</w:t>
      </w:r>
      <w:r>
        <w:rPr>
          <w:rFonts w:ascii="仿宋_GB2312" w:eastAsia="仿宋_GB2312" w:hAnsi="仿宋_GB2312" w:cs="仿宋_GB2312" w:hint="eastAsia"/>
          <w:bCs/>
          <w:sz w:val="32"/>
          <w:szCs w:val="32"/>
        </w:rPr>
        <w:t>科教文卫体等工作人员定期服务农村，</w:t>
      </w:r>
      <w:r>
        <w:rPr>
          <w:rFonts w:ascii="仿宋_GB2312" w:eastAsia="仿宋_GB2312" w:hAnsi="仿宋_GB2312" w:cs="仿宋_GB2312" w:hint="eastAsia"/>
          <w:sz w:val="32"/>
          <w:szCs w:val="32"/>
        </w:rPr>
        <w:t>建立高等院校、科研院所等事业单位专业技术人员到乡村和企业挂职制度。开展农村订单定向医学生免费培养、全科医生转岗培训等全科医生培训项目。探索实行乡村医务人员“市聘乡用、乡聘村用”。</w:t>
      </w:r>
    </w:p>
    <w:p w14:paraId="34AE9F0A" w14:textId="77777777" w:rsidR="00501569" w:rsidRDefault="00C74794">
      <w:pPr>
        <w:ind w:firstLineChars="200" w:firstLine="643"/>
        <w:jc w:val="left"/>
        <w:rPr>
          <w:rFonts w:ascii="仿宋_GB2312" w:eastAsia="仿宋_GB2312" w:hAnsi="仿宋_GB2312" w:cs="仿宋_GB2312"/>
          <w:bCs/>
          <w:sz w:val="32"/>
          <w:szCs w:val="32"/>
        </w:rPr>
      </w:pPr>
      <w:r>
        <w:rPr>
          <w:rFonts w:ascii="仿宋_GB2312" w:eastAsia="仿宋_GB2312" w:hAnsi="仿宋_GB2312" w:cs="仿宋_GB2312" w:hint="eastAsia"/>
          <w:b/>
          <w:sz w:val="32"/>
          <w:szCs w:val="32"/>
        </w:rPr>
        <w:t>推动公共资源向农村延伸。</w:t>
      </w:r>
      <w:r>
        <w:rPr>
          <w:rFonts w:ascii="仿宋_GB2312" w:eastAsia="仿宋_GB2312" w:hAnsi="仿宋_GB2312" w:cs="仿宋_GB2312" w:hint="eastAsia"/>
          <w:bCs/>
          <w:sz w:val="32"/>
          <w:szCs w:val="32"/>
        </w:rPr>
        <w:t>加快推进城市道路、市政管网等基础设施和公共交通、医疗、教育、文化等公共服务设施向乡村延伸，推动乡村小规模学校和乡镇寄宿制学校建设，拓展中心乡镇卫生院功能，加大村级公共文化设施建设力度，着力提升乡镇综合文化站、文化中心、社区文化活动室、农家书屋、农村文化大院的服务功能。</w:t>
      </w:r>
    </w:p>
    <w:p w14:paraId="2A180E50" w14:textId="77777777" w:rsidR="00501569" w:rsidRDefault="00C74794">
      <w:pPr>
        <w:ind w:firstLineChars="200" w:firstLine="643"/>
        <w:jc w:val="left"/>
        <w:rPr>
          <w:rFonts w:ascii="仿宋_GB2312" w:eastAsia="仿宋_GB2312" w:hAnsi="仿宋_GB2312" w:cs="仿宋_GB2312"/>
          <w:bCs/>
          <w:color w:val="000000"/>
          <w:sz w:val="32"/>
          <w:szCs w:val="32"/>
        </w:rPr>
      </w:pPr>
      <w:r>
        <w:rPr>
          <w:rFonts w:ascii="仿宋_GB2312" w:eastAsia="仿宋_GB2312" w:hAnsi="仿宋_GB2312" w:cs="仿宋_GB2312" w:hint="eastAsia"/>
          <w:b/>
          <w:sz w:val="32"/>
          <w:szCs w:val="32"/>
        </w:rPr>
        <w:t>健全城市支持农业农村的要素保障制度。</w:t>
      </w:r>
      <w:r>
        <w:rPr>
          <w:rFonts w:ascii="仿宋_GB2312" w:eastAsia="仿宋_GB2312" w:hAnsi="仿宋_GB2312" w:cs="仿宋_GB2312" w:hint="eastAsia"/>
          <w:bCs/>
          <w:sz w:val="32"/>
          <w:szCs w:val="32"/>
        </w:rPr>
        <w:t>鼓励和引导融资性担保机构向县域农村延伸服务链条，为农户、新型经营主体、涉农企业提供担保，不断扩大对乡村的融资担保规模。</w:t>
      </w:r>
      <w:r>
        <w:rPr>
          <w:rFonts w:ascii="仿宋_GB2312" w:eastAsia="仿宋_GB2312" w:hAnsi="仿宋_GB2312" w:cs="仿宋_GB2312" w:hint="eastAsia"/>
          <w:bCs/>
          <w:color w:val="000000"/>
          <w:sz w:val="32"/>
          <w:szCs w:val="32"/>
        </w:rPr>
        <w:t>强化用地保障，将年度新增建设用地指标的一定比例用于支持农村新产业新业态发展。健全投入保障制</w:t>
      </w:r>
      <w:r>
        <w:rPr>
          <w:rFonts w:ascii="仿宋_GB2312" w:eastAsia="仿宋_GB2312" w:hAnsi="仿宋_GB2312" w:cs="仿宋_GB2312" w:hint="eastAsia"/>
          <w:bCs/>
          <w:color w:val="000000"/>
          <w:sz w:val="32"/>
          <w:szCs w:val="32"/>
        </w:rPr>
        <w:lastRenderedPageBreak/>
        <w:t>度，统筹安排各类功能互补、用途衔接的涉农资金。</w:t>
      </w:r>
    </w:p>
    <w:p w14:paraId="77E9D812" w14:textId="77777777" w:rsidR="00501569" w:rsidRDefault="00C74794" w:rsidP="0045498C">
      <w:pPr>
        <w:spacing w:beforeLines="50" w:before="156" w:afterLines="50" w:after="156"/>
        <w:jc w:val="center"/>
        <w:outlineLvl w:val="0"/>
        <w:rPr>
          <w:rFonts w:ascii="黑体" w:eastAsia="黑体" w:hAnsi="黑体"/>
          <w:sz w:val="32"/>
          <w:szCs w:val="32"/>
        </w:rPr>
      </w:pPr>
      <w:bookmarkStart w:id="73" w:name="_Toc5748"/>
      <w:r>
        <w:rPr>
          <w:rFonts w:ascii="黑体" w:eastAsia="黑体" w:hAnsi="黑体" w:cs="黑体" w:hint="eastAsia"/>
          <w:sz w:val="32"/>
          <w:szCs w:val="32"/>
        </w:rPr>
        <w:t>第八章 实施新基建“761”工程，增强发展支撑能力</w:t>
      </w:r>
      <w:bookmarkEnd w:id="73"/>
    </w:p>
    <w:p w14:paraId="61130F8A" w14:textId="77777777" w:rsidR="00501569" w:rsidRDefault="00C74794">
      <w:pPr>
        <w:pStyle w:val="New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按照统筹规划、合理布局、适度超前、保障安全、协同 发展、设施先行的原则，加快实施新基建“761”工程，推进与长春市交通、能源、水利和信息等重大基础设施建设互联互通，支撑同城化协同发展。</w:t>
      </w:r>
    </w:p>
    <w:p w14:paraId="33481BA4"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74" w:name="_Toc2048"/>
      <w:r w:rsidRPr="005717BE">
        <w:rPr>
          <w:rFonts w:ascii="楷体_GB2312" w:eastAsia="楷体_GB2312" w:hAnsi="楷体_GB2312" w:cs="楷体_GB2312" w:hint="eastAsia"/>
          <w:b/>
          <w:bCs/>
          <w:sz w:val="32"/>
          <w:szCs w:val="32"/>
        </w:rPr>
        <w:t>第一节 构建综合交通体系</w:t>
      </w:r>
      <w:bookmarkEnd w:id="74"/>
    </w:p>
    <w:p w14:paraId="70593BBD" w14:textId="77777777" w:rsidR="00501569" w:rsidRDefault="00C74794" w:rsidP="0045498C">
      <w:pPr>
        <w:pStyle w:val="Default"/>
        <w:spacing w:afterLines="50" w:after="156"/>
        <w:ind w:firstLineChars="200" w:firstLine="640"/>
        <w:rPr>
          <w:rFonts w:cs="仿宋_GB2312"/>
          <w:sz w:val="32"/>
          <w:szCs w:val="32"/>
        </w:rPr>
      </w:pPr>
      <w:r>
        <w:rPr>
          <w:rFonts w:cs="仿宋_GB2312" w:hint="eastAsia"/>
          <w:sz w:val="32"/>
          <w:szCs w:val="32"/>
        </w:rPr>
        <w:t>围绕打造大交通、大枢纽加快完善现代化综合交通体系，着力提升通行承载能力。加快贯通公主岭市新红旗大街（东风大街）延长线（兴岭路至公主岭），推进建设国道102线公主岭绕越线，加快改造公主岭至二龙湖旅游专线，推进建设长春经济圈环线高速公路和国省干道路网，形成干支衔接、畅通快捷的公路运输网路。完善与长春同城化公共交通系统，实现两市间交通公交化。推进“四好农村路”建设，实施村屯硬化路畅通工程。加强高速公路、市政公路数字化改造，加快智慧交通建设。强化与长春快速铁路连接，优化路网结构和枢纽建设，利用京哈铁路、哈大客运专线等铁路，推动与长春“动车公交化”，提升公主岭南站客运枢纽功能。推进开通公主岭市至龙嘉国际机场的机场客运专线，推进航空服务共享。</w:t>
      </w:r>
    </w:p>
    <w:tbl>
      <w:tblPr>
        <w:tblW w:w="8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9"/>
      </w:tblGrid>
      <w:tr w:rsidR="00501569" w14:paraId="71A40FBC" w14:textId="77777777">
        <w:tc>
          <w:tcPr>
            <w:tcW w:w="8429" w:type="dxa"/>
          </w:tcPr>
          <w:p w14:paraId="2A55C7B5" w14:textId="77777777" w:rsidR="00501569" w:rsidRDefault="00C74794">
            <w:pPr>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专栏</w:t>
            </w:r>
            <w:r>
              <w:rPr>
                <w:rFonts w:ascii="楷体_GB2312" w:eastAsia="楷体_GB2312" w:hAnsi="楷体_GB2312" w:cs="楷体_GB2312"/>
                <w:b/>
                <w:bCs/>
                <w:sz w:val="28"/>
                <w:szCs w:val="28"/>
              </w:rPr>
              <w:t>12</w:t>
            </w:r>
            <w:r>
              <w:rPr>
                <w:rFonts w:ascii="楷体_GB2312" w:eastAsia="楷体_GB2312" w:hAnsi="楷体_GB2312" w:cs="楷体_GB2312" w:hint="eastAsia"/>
                <w:b/>
                <w:bCs/>
                <w:sz w:val="28"/>
                <w:szCs w:val="28"/>
              </w:rPr>
              <w:t>：交通设施重点项目</w:t>
            </w:r>
          </w:p>
          <w:p w14:paraId="37DB42F2" w14:textId="77777777" w:rsidR="00501569" w:rsidRDefault="00C74794">
            <w:pPr>
              <w:adjustRightInd w:val="0"/>
              <w:snapToGrid w:val="0"/>
              <w:spacing w:line="360" w:lineRule="auto"/>
              <w:ind w:firstLineChars="200" w:firstLine="420"/>
              <w:rPr>
                <w:rFonts w:ascii="宋体" w:eastAsia="宋体" w:hAnsi="宋体"/>
              </w:rPr>
            </w:pPr>
            <w:r>
              <w:rPr>
                <w:rFonts w:ascii="宋体" w:eastAsia="宋体" w:hAnsi="宋体" w:cs="宋体" w:hint="eastAsia"/>
                <w:szCs w:val="21"/>
              </w:rPr>
              <w:lastRenderedPageBreak/>
              <w:t>推进建设长春经济圈环线高速公路伊通至公主岭至农安段高速公路85公里、国道G102线公主岭绕越线、国道牙四线（G232）朱家屯至于船口桥段三级升二级、省道秦八线秦家屯至东辽河段公路、公南线南葳子至收费站、岭西三路至朝阳坡公主岭至二龙湖旅游专线改造等工程项目。</w:t>
            </w:r>
          </w:p>
        </w:tc>
      </w:tr>
    </w:tbl>
    <w:p w14:paraId="3DFC86A0"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75" w:name="_Toc11940"/>
      <w:r w:rsidRPr="005717BE">
        <w:rPr>
          <w:rFonts w:ascii="楷体_GB2312" w:eastAsia="楷体_GB2312" w:hAnsi="楷体_GB2312" w:cs="楷体_GB2312" w:hint="eastAsia"/>
          <w:b/>
          <w:bCs/>
          <w:sz w:val="32"/>
          <w:szCs w:val="32"/>
        </w:rPr>
        <w:lastRenderedPageBreak/>
        <w:t>第二节 加快建设水利设施</w:t>
      </w:r>
      <w:bookmarkEnd w:id="75"/>
    </w:p>
    <w:p w14:paraId="1BC56E2F" w14:textId="77777777" w:rsidR="00501569" w:rsidRDefault="00C74794" w:rsidP="0045498C">
      <w:pPr>
        <w:spacing w:afterLines="50" w:after="156"/>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强化水资源保障，推进与长春市水资源开发利用一体化，统筹建立区域水资源开发利用格局，加快实施吉林省中部城市引松供水工程，推动与长春第六净水厂供水共享，实施24个乡镇集中供水工程的巩固提升和改扩建工程，提高农村供水保障能力。构建城市防洪除涝排水工程体系，推进新凯河、东辽河等河流治理，重点实施姜小河毛城子镇至玻璃城子镇段、兴隆河公主岭段、卡伦河立新闸上游段等治理工程，推进病险水库、水闸、泵站除险加固。加强农田水利设施建设，重点实施公主岭市秦家屯灌区节水灌溉工程、南崴子灌区节水灌溉等工程，推进农村水系综合整治，修建生态护岸，改善生态环境和水质，提高河道防洪抗冲能力。</w:t>
      </w:r>
    </w:p>
    <w:tbl>
      <w:tblPr>
        <w:tblW w:w="8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9"/>
      </w:tblGrid>
      <w:tr w:rsidR="00501569" w14:paraId="7A7407E4" w14:textId="77777777">
        <w:tc>
          <w:tcPr>
            <w:tcW w:w="8429" w:type="dxa"/>
          </w:tcPr>
          <w:p w14:paraId="0020D48C" w14:textId="77777777" w:rsidR="00501569" w:rsidRDefault="00C74794">
            <w:pPr>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专栏1</w:t>
            </w:r>
            <w:r>
              <w:rPr>
                <w:rFonts w:ascii="楷体_GB2312" w:eastAsia="楷体_GB2312" w:hAnsi="楷体_GB2312" w:cs="楷体_GB2312"/>
                <w:b/>
                <w:bCs/>
                <w:sz w:val="28"/>
                <w:szCs w:val="28"/>
              </w:rPr>
              <w:t>3</w:t>
            </w:r>
            <w:r>
              <w:rPr>
                <w:rFonts w:ascii="楷体_GB2312" w:eastAsia="楷体_GB2312" w:hAnsi="楷体_GB2312" w:cs="楷体_GB2312" w:hint="eastAsia"/>
                <w:b/>
                <w:bCs/>
                <w:sz w:val="28"/>
                <w:szCs w:val="28"/>
              </w:rPr>
              <w:t>：水利设施重点项目</w:t>
            </w:r>
          </w:p>
          <w:p w14:paraId="0686BFAD" w14:textId="77777777" w:rsidR="00501569" w:rsidRDefault="00C74794">
            <w:pPr>
              <w:adjustRightInd w:val="0"/>
              <w:snapToGrid w:val="0"/>
              <w:spacing w:line="360" w:lineRule="auto"/>
              <w:ind w:firstLineChars="200" w:firstLine="420"/>
              <w:rPr>
                <w:rFonts w:ascii="宋体" w:eastAsia="宋体" w:hAnsi="宋体"/>
              </w:rPr>
            </w:pPr>
            <w:r>
              <w:rPr>
                <w:rFonts w:ascii="宋体" w:eastAsia="宋体" w:hAnsi="宋体" w:cs="宋体" w:hint="eastAsia"/>
                <w:szCs w:val="21"/>
              </w:rPr>
              <w:t>推进建设公主岭市</w:t>
            </w:r>
            <w:r>
              <w:rPr>
                <w:rFonts w:ascii="宋体" w:eastAsia="宋体" w:hAnsi="宋体" w:cs="宋体"/>
                <w:szCs w:val="21"/>
              </w:rPr>
              <w:t>24个乡镇集中供水工程的巩固提升和改扩建、公主岭市农村水系综合整治、中小河流小辽河公主岭市杨大城子镇至八屋镇段治理、中小河流治理姜小河（毛城子镇至玻璃城子镇）段治理、公主岭市卡伦河立新闸上游段治理、中小河流兴隆河公主岭市上游段河道治理、中小河流新凯河上游段治理、公主岭市秦家屯灌区节水灌溉、南崴子灌区节水配套改造、水土保持综合治理等工程项目。</w:t>
            </w:r>
          </w:p>
        </w:tc>
      </w:tr>
    </w:tbl>
    <w:p w14:paraId="505FBF4F" w14:textId="77777777" w:rsidR="00501569" w:rsidRPr="005717BE" w:rsidRDefault="00C74794" w:rsidP="0045498C">
      <w:pPr>
        <w:spacing w:beforeLines="80" w:before="249" w:afterLines="50" w:after="156"/>
        <w:jc w:val="center"/>
        <w:outlineLvl w:val="1"/>
        <w:rPr>
          <w:rFonts w:ascii="楷体_GB2312" w:eastAsia="楷体_GB2312" w:hAnsi="楷体_GB2312" w:cs="楷体_GB2312"/>
          <w:b/>
          <w:bCs/>
          <w:sz w:val="32"/>
          <w:szCs w:val="32"/>
        </w:rPr>
      </w:pPr>
      <w:bookmarkStart w:id="76" w:name="_Toc19530"/>
      <w:r w:rsidRPr="005717BE">
        <w:rPr>
          <w:rFonts w:ascii="楷体_GB2312" w:eastAsia="楷体_GB2312" w:hAnsi="楷体_GB2312" w:cs="楷体_GB2312" w:hint="eastAsia"/>
          <w:b/>
          <w:bCs/>
          <w:sz w:val="32"/>
          <w:szCs w:val="32"/>
        </w:rPr>
        <w:t>第三节 提高能源设施保障</w:t>
      </w:r>
      <w:bookmarkEnd w:id="76"/>
    </w:p>
    <w:p w14:paraId="043B089A" w14:textId="77777777" w:rsidR="00501569" w:rsidRDefault="00C74794">
      <w:pPr>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以构建高效清洁的能源利用体系为核心，加快发展新能</w:t>
      </w:r>
      <w:r>
        <w:rPr>
          <w:rFonts w:ascii="仿宋_GB2312" w:eastAsia="仿宋_GB2312" w:hAnsi="仿宋_GB2312" w:cs="仿宋_GB2312" w:hint="eastAsia"/>
          <w:color w:val="000000"/>
          <w:kern w:val="0"/>
          <w:sz w:val="32"/>
          <w:szCs w:val="32"/>
        </w:rPr>
        <w:lastRenderedPageBreak/>
        <w:t>源和可再生能源，加强多元化供给能力建设，提高能源普遍服务水平，构建清洁低碳、安全高效的现代能源体系。加强电力能源设施建设，加强电站（网）建设和改造力度，鼓励发展生物质发电，支持生物质液化、气化等综合利用项目建设，加快实施生活垃圾焚烧发电、生物质热电联产，扩充电网输电、变电、配电能力，构建安全、清洁、经济、高效的电力保障体系。推进供气设施建设，实施“气化公主岭”工程，多渠道拓展天然气气源，加强天然气储气调峰设施建设，调整气源结构，</w:t>
      </w:r>
      <w:r>
        <w:rPr>
          <w:rFonts w:ascii="仿宋_GB2312" w:eastAsia="仿宋_GB2312" w:hAnsi="仿宋_GB2312" w:cs="仿宋_GB2312" w:hint="eastAsia"/>
          <w:sz w:val="32"/>
          <w:szCs w:val="32"/>
        </w:rPr>
        <w:t>支持环长春区域的城镇、乡村接入长春市区供热管网和</w:t>
      </w:r>
      <w:r>
        <w:rPr>
          <w:rFonts w:ascii="仿宋_GB2312" w:eastAsia="仿宋_GB2312" w:hAnsi="仿宋_GB2312" w:cs="仿宋_GB2312" w:hint="eastAsia"/>
          <w:color w:val="000000"/>
          <w:kern w:val="0"/>
          <w:sz w:val="32"/>
          <w:szCs w:val="32"/>
        </w:rPr>
        <w:t>其他能源管网。新建一批大型供热中心，全面实施市区、镇区集中供热。加快建设公主岭-伊通天然气管道、公主岭市成品油零售网络等。</w:t>
      </w:r>
    </w:p>
    <w:p w14:paraId="67C5B9AF"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77" w:name="_Toc29780"/>
      <w:r w:rsidRPr="005717BE">
        <w:rPr>
          <w:rFonts w:ascii="楷体_GB2312" w:eastAsia="楷体_GB2312" w:hAnsi="楷体_GB2312" w:cs="楷体_GB2312" w:hint="eastAsia"/>
          <w:b/>
          <w:bCs/>
          <w:sz w:val="32"/>
          <w:szCs w:val="32"/>
        </w:rPr>
        <w:t>第四节 大力发展数字设施</w:t>
      </w:r>
      <w:bookmarkEnd w:id="77"/>
    </w:p>
    <w:p w14:paraId="27716231" w14:textId="77777777" w:rsidR="00501569" w:rsidRDefault="00C74794">
      <w:pPr>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加快数字公主岭建设，大力发展基础通信网络，建设云计算、大数据、物联网等信息基础设施，超前布局和应用5G设施，推进全域高速无线网络建设。加快产业园区、政府机构、医疗教育等场所全光纤接入，对老旧小区、城区及商业楼宇进行光纤改造优化，提高城市整体光纤接入带宽。加快“三网融合”建设进程，拓展“三网融合”业务领域。</w:t>
      </w:r>
      <w:bookmarkStart w:id="78" w:name="_Toc530000676"/>
      <w:r>
        <w:rPr>
          <w:rFonts w:ascii="仿宋_GB2312" w:eastAsia="仿宋_GB2312" w:hAnsi="仿宋_GB2312" w:cs="仿宋_GB2312" w:hint="eastAsia"/>
          <w:color w:val="000000"/>
          <w:kern w:val="0"/>
          <w:sz w:val="32"/>
          <w:szCs w:val="32"/>
        </w:rPr>
        <w:t>推动物联网络建设</w:t>
      </w:r>
      <w:bookmarkEnd w:id="78"/>
      <w:r>
        <w:rPr>
          <w:rFonts w:ascii="仿宋_GB2312" w:eastAsia="仿宋_GB2312" w:hAnsi="仿宋_GB2312" w:cs="仿宋_GB2312" w:hint="eastAsia"/>
          <w:color w:val="000000"/>
          <w:kern w:val="0"/>
          <w:sz w:val="32"/>
          <w:szCs w:val="32"/>
        </w:rPr>
        <w:t>，完善物联感知手段，加快集照明控制、WIFI天线基站、视频监控管理、广告屏播控、城区环境实时监测、紧急呼叫、水位监测、充电桩和井盖监测等功能于一体的智</w:t>
      </w:r>
      <w:r>
        <w:rPr>
          <w:rFonts w:ascii="仿宋_GB2312" w:eastAsia="仿宋_GB2312" w:hAnsi="仿宋_GB2312" w:cs="仿宋_GB2312" w:hint="eastAsia"/>
          <w:color w:val="000000"/>
          <w:kern w:val="0"/>
          <w:sz w:val="32"/>
          <w:szCs w:val="32"/>
        </w:rPr>
        <w:lastRenderedPageBreak/>
        <w:t>慧多功能杆建设，形成共建共享、集约高效的城市物联感知网络建设模式，提升公共安全、城市管理、道路交通、生态环境等领域智能感知水平。</w:t>
      </w:r>
    </w:p>
    <w:p w14:paraId="43D0AFB1" w14:textId="77777777" w:rsidR="00501569" w:rsidRDefault="00C74794" w:rsidP="0045498C">
      <w:pPr>
        <w:keepNext/>
        <w:keepLines/>
        <w:adjustRightInd w:val="0"/>
        <w:spacing w:beforeLines="50" w:before="156" w:afterLines="50" w:after="156"/>
        <w:jc w:val="center"/>
        <w:outlineLvl w:val="0"/>
        <w:rPr>
          <w:rFonts w:ascii="Tahoma" w:eastAsia="黑体" w:hAnsi="Tahoma"/>
          <w:kern w:val="44"/>
          <w:sz w:val="32"/>
          <w:szCs w:val="44"/>
        </w:rPr>
      </w:pPr>
      <w:bookmarkStart w:id="79" w:name="_Toc6197"/>
      <w:r>
        <w:rPr>
          <w:rFonts w:ascii="Tahoma" w:eastAsia="黑体" w:hAnsi="Tahoma" w:hint="eastAsia"/>
          <w:kern w:val="44"/>
          <w:sz w:val="32"/>
          <w:szCs w:val="44"/>
        </w:rPr>
        <w:t>第九章</w:t>
      </w:r>
      <w:r>
        <w:rPr>
          <w:rFonts w:ascii="Tahoma" w:eastAsia="黑体" w:hAnsi="Tahoma" w:hint="eastAsia"/>
          <w:kern w:val="44"/>
          <w:sz w:val="32"/>
          <w:szCs w:val="44"/>
        </w:rPr>
        <w:t xml:space="preserve"> </w:t>
      </w:r>
      <w:r>
        <w:rPr>
          <w:rFonts w:ascii="Tahoma" w:eastAsia="黑体" w:hAnsi="Tahoma" w:hint="eastAsia"/>
          <w:kern w:val="44"/>
          <w:sz w:val="32"/>
          <w:szCs w:val="44"/>
        </w:rPr>
        <w:t>改革同城化发展机制，营造一流营商环境</w:t>
      </w:r>
      <w:bookmarkEnd w:id="79"/>
    </w:p>
    <w:p w14:paraId="37F0F47D" w14:textId="77777777" w:rsidR="00501569" w:rsidRDefault="00C74794">
      <w:pPr>
        <w:spacing w:before="50" w:after="50"/>
        <w:ind w:firstLineChars="200" w:firstLine="640"/>
        <w:contextualSpacing/>
        <w:rPr>
          <w:rFonts w:ascii="仿宋_GB2312" w:eastAsia="仿宋_GB2312" w:hAnsi="仿宋_GB2312" w:cs="仿宋_GB2312"/>
          <w:sz w:val="32"/>
          <w:szCs w:val="32"/>
        </w:rPr>
      </w:pPr>
      <w:r>
        <w:rPr>
          <w:rFonts w:ascii="仿宋_GB2312" w:eastAsia="仿宋_GB2312" w:hAnsi="仿宋_GB2312" w:cs="仿宋_GB2312" w:hint="eastAsia"/>
          <w:sz w:val="32"/>
          <w:szCs w:val="32"/>
        </w:rPr>
        <w:t>深度推进长公同城化协同发展战略，对接联动长春“</w:t>
      </w:r>
      <w:r w:rsidR="009E5D77">
        <w:rPr>
          <w:rFonts w:ascii="仿宋_GB2312" w:eastAsia="仿宋_GB2312" w:hAnsi="仿宋_GB2312" w:cs="仿宋_GB2312" w:hint="eastAsia"/>
          <w:sz w:val="32"/>
          <w:szCs w:val="32"/>
        </w:rPr>
        <w:t>一个目标、</w:t>
      </w:r>
      <w:r>
        <w:rPr>
          <w:rFonts w:ascii="仿宋_GB2312" w:eastAsia="仿宋_GB2312" w:hAnsi="仿宋_GB2312" w:cs="仿宋_GB2312" w:hint="eastAsia"/>
          <w:sz w:val="32"/>
          <w:szCs w:val="32"/>
        </w:rPr>
        <w:t>一个体系、四大板块、两大基地</w:t>
      </w:r>
      <w:r w:rsidR="009E5D77">
        <w:rPr>
          <w:rFonts w:ascii="仿宋_GB2312" w:eastAsia="仿宋_GB2312" w:hAnsi="仿宋_GB2312" w:cs="仿宋_GB2312" w:hint="eastAsia"/>
          <w:sz w:val="32"/>
          <w:szCs w:val="32"/>
        </w:rPr>
        <w:t>、五大城市</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themeColor="text1"/>
          <w:sz w:val="32"/>
          <w:szCs w:val="32"/>
        </w:rPr>
        <w:t>建设</w:t>
      </w:r>
      <w:r>
        <w:rPr>
          <w:rFonts w:ascii="仿宋_GB2312" w:eastAsia="仿宋_GB2312" w:hAnsi="仿宋_GB2312" w:cs="仿宋_GB2312" w:hint="eastAsia"/>
          <w:sz w:val="32"/>
          <w:szCs w:val="32"/>
        </w:rPr>
        <w:t>，深化体制机制改革，转变政府职能，打造</w:t>
      </w:r>
      <w:r>
        <w:rPr>
          <w:rFonts w:ascii="仿宋_GB2312" w:eastAsia="仿宋_GB2312" w:hAnsi="仿宋_GB2312" w:cs="仿宋_GB2312"/>
          <w:sz w:val="32"/>
          <w:szCs w:val="32"/>
        </w:rPr>
        <w:t>一流</w:t>
      </w:r>
      <w:r>
        <w:rPr>
          <w:rFonts w:ascii="仿宋_GB2312" w:eastAsia="仿宋_GB2312" w:hAnsi="仿宋_GB2312" w:cs="仿宋_GB2312" w:hint="eastAsia"/>
          <w:sz w:val="32"/>
          <w:szCs w:val="32"/>
        </w:rPr>
        <w:t>营商</w:t>
      </w:r>
      <w:r>
        <w:rPr>
          <w:rFonts w:ascii="仿宋_GB2312" w:eastAsia="仿宋_GB2312" w:hAnsi="仿宋_GB2312" w:cs="仿宋_GB2312"/>
          <w:sz w:val="32"/>
          <w:szCs w:val="32"/>
        </w:rPr>
        <w:t>环境</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sz w:val="32"/>
          <w:szCs w:val="32"/>
        </w:rPr>
        <w:t>全面激发经济社会发展活力</w:t>
      </w:r>
      <w:r>
        <w:rPr>
          <w:rFonts w:ascii="仿宋_GB2312" w:eastAsia="仿宋_GB2312" w:hAnsi="仿宋_GB2312" w:cs="仿宋_GB2312" w:hint="eastAsia"/>
          <w:sz w:val="32"/>
          <w:szCs w:val="32"/>
        </w:rPr>
        <w:t>。</w:t>
      </w:r>
    </w:p>
    <w:p w14:paraId="31E03B6C" w14:textId="77777777" w:rsidR="00501569" w:rsidRPr="005717BE" w:rsidRDefault="00C74794" w:rsidP="0045498C">
      <w:pPr>
        <w:keepNext/>
        <w:keepLines/>
        <w:adjustRightInd w:val="0"/>
        <w:spacing w:beforeLines="50" w:before="156" w:afterLines="50" w:after="156"/>
        <w:jc w:val="center"/>
        <w:outlineLvl w:val="1"/>
        <w:rPr>
          <w:rFonts w:ascii="楷体_GB2312" w:eastAsia="楷体_GB2312" w:hAnsi="楷体_GB2312" w:cs="楷体_GB2312"/>
          <w:b/>
          <w:bCs/>
          <w:sz w:val="32"/>
          <w:szCs w:val="32"/>
        </w:rPr>
      </w:pPr>
      <w:bookmarkStart w:id="80" w:name="_Toc40456100"/>
      <w:bookmarkStart w:id="81" w:name="_Toc44843792"/>
      <w:bookmarkStart w:id="82" w:name="_Toc15301"/>
      <w:r w:rsidRPr="005717BE">
        <w:rPr>
          <w:rFonts w:ascii="楷体_GB2312" w:eastAsia="楷体_GB2312" w:hAnsi="楷体_GB2312" w:cs="楷体_GB2312" w:hint="eastAsia"/>
          <w:b/>
          <w:bCs/>
          <w:sz w:val="32"/>
          <w:szCs w:val="32"/>
        </w:rPr>
        <w:t>第一节 深化同城化发展新机制</w:t>
      </w:r>
      <w:bookmarkEnd w:id="80"/>
      <w:bookmarkEnd w:id="81"/>
      <w:bookmarkEnd w:id="82"/>
    </w:p>
    <w:p w14:paraId="02547A2D"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完善同城化发展体制机制，加快政务运行、要素流动、城乡服务等方面同城化进程，形成协同高效、资源共享、互利共赢的同城化协同发展新格局。</w:t>
      </w:r>
    </w:p>
    <w:p w14:paraId="7DDFBEF3" w14:textId="77777777" w:rsidR="00501569" w:rsidRDefault="00C74794">
      <w:pPr>
        <w:pStyle w:val="a3"/>
        <w:spacing w:after="0"/>
        <w:ind w:leftChars="0" w:left="0"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sz w:val="32"/>
          <w:szCs w:val="32"/>
        </w:rPr>
        <w:t>建设同城化协同发展示范区。</w:t>
      </w:r>
      <w:r>
        <w:rPr>
          <w:rFonts w:ascii="仿宋_GB2312" w:eastAsia="仿宋_GB2312" w:hAnsi="仿宋_GB2312" w:cs="仿宋_GB2312" w:hint="eastAsia"/>
          <w:sz w:val="32"/>
          <w:szCs w:val="32"/>
        </w:rPr>
        <w:t>以公主岭全域为范围，分区分片精准实施同城化政策，协同</w:t>
      </w:r>
      <w:r>
        <w:rPr>
          <w:rFonts w:ascii="仿宋_GB2312" w:eastAsia="仿宋_GB2312" w:hAnsi="仿宋_GB2312" w:cs="仿宋_GB2312" w:hint="eastAsia"/>
          <w:color w:val="000000"/>
          <w:sz w:val="32"/>
          <w:szCs w:val="32"/>
        </w:rPr>
        <w:t>打造同城化先导区、同城化拓展区和同城化辐射区。</w:t>
      </w:r>
      <w:r>
        <w:rPr>
          <w:rFonts w:ascii="仿宋_GB2312" w:eastAsia="仿宋_GB2312" w:hAnsi="仿宋_GB2312" w:cs="仿宋_GB2312" w:hint="eastAsia"/>
          <w:sz w:val="32"/>
          <w:szCs w:val="32"/>
        </w:rPr>
        <w:t>依托范家屯、大岭、响水三镇，</w:t>
      </w:r>
      <w:r>
        <w:rPr>
          <w:rFonts w:ascii="仿宋_GB2312" w:eastAsia="仿宋_GB2312" w:hAnsi="仿宋_GB2312" w:cs="仿宋_GB2312" w:hint="eastAsia"/>
          <w:color w:val="000000"/>
          <w:sz w:val="32"/>
          <w:szCs w:val="32"/>
        </w:rPr>
        <w:t>加快建设同城化先导区</w:t>
      </w:r>
      <w:r>
        <w:rPr>
          <w:rFonts w:ascii="仿宋_GB2312" w:eastAsia="仿宋_GB2312" w:hAnsi="仿宋_GB2312" w:cs="仿宋_GB2312" w:hint="eastAsia"/>
          <w:sz w:val="32"/>
          <w:szCs w:val="32"/>
        </w:rPr>
        <w:t>，重点引进长春市产业资本，合力打造同城化产业园区</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比照长春市省级园区政策给予产业资本同城化待遇，按照长春市标准给予投资兴业企业、</w:t>
      </w:r>
      <w:r>
        <w:rPr>
          <w:rFonts w:ascii="仿宋_GB2312" w:eastAsia="仿宋_GB2312" w:hAnsi="仿宋_GB2312" w:cs="仿宋_GB2312" w:hint="eastAsia"/>
          <w:color w:val="000000"/>
          <w:sz w:val="32"/>
          <w:szCs w:val="32"/>
        </w:rPr>
        <w:t>居民、团体同等公共服务待遇，引进长春市中小学校、重点医院、科研机构建立分支机构。依托公主岭市区、秦家屯镇、怀德镇、陶家屯镇，梯次建设同城化拓展区，加强基础设施建设，承</w:t>
      </w:r>
      <w:r>
        <w:rPr>
          <w:rFonts w:ascii="仿宋_GB2312" w:eastAsia="仿宋_GB2312" w:hAnsi="仿宋_GB2312" w:cs="仿宋_GB2312" w:hint="eastAsia"/>
          <w:color w:val="000000"/>
          <w:sz w:val="32"/>
          <w:szCs w:val="32"/>
        </w:rPr>
        <w:lastRenderedPageBreak/>
        <w:t>接同城化先导区有关产业转移，强化三产融合和产城融合。在先导区、拓展区之外的公主岭市其他区域，建设同城化发展辐射区，强化生态功能，发展现代农牧业。在105线以北区域，着力打造服务于同城化综合需求的公主岭乡村振兴特色片区和吉林省城乡融合示范区。</w:t>
      </w:r>
    </w:p>
    <w:p w14:paraId="0BAD6FBC" w14:textId="77777777" w:rsidR="00501569" w:rsidRDefault="00C74794">
      <w:pPr>
        <w:ind w:firstLineChars="200" w:firstLine="643"/>
        <w:rPr>
          <w:rFonts w:ascii="仿宋_GB2312" w:eastAsia="仿宋_GB2312" w:hAnsi="仿宋_GB2312" w:cs="仿宋_GB2312"/>
          <w:color w:val="000000"/>
          <w:sz w:val="32"/>
          <w:szCs w:val="32"/>
        </w:rPr>
      </w:pPr>
      <w:bookmarkStart w:id="83" w:name="_Toc40456101"/>
      <w:r>
        <w:rPr>
          <w:rFonts w:ascii="仿宋_GB2312" w:eastAsia="仿宋_GB2312" w:hAnsi="仿宋_GB2312" w:cs="仿宋_GB2312" w:hint="eastAsia"/>
          <w:b/>
          <w:sz w:val="32"/>
          <w:szCs w:val="32"/>
        </w:rPr>
        <w:t>探索政务运行同城化新机制</w:t>
      </w:r>
      <w:bookmarkEnd w:id="83"/>
      <w:r>
        <w:rPr>
          <w:rFonts w:ascii="仿宋_GB2312" w:eastAsia="仿宋_GB2312" w:hAnsi="仿宋_GB2312" w:cs="仿宋_GB2312" w:hint="eastAsia"/>
          <w:b/>
          <w:sz w:val="32"/>
          <w:szCs w:val="32"/>
        </w:rPr>
        <w:t>。</w:t>
      </w:r>
      <w:r>
        <w:rPr>
          <w:rFonts w:ascii="仿宋_GB2312" w:eastAsia="仿宋_GB2312" w:hAnsi="仿宋_GB2312" w:cs="仿宋_GB2312" w:hint="eastAsia"/>
          <w:color w:val="000000"/>
          <w:sz w:val="32"/>
          <w:szCs w:val="32"/>
        </w:rPr>
        <w:t>推进与长春市信息资源数据互联互通，完成政务信息资源共享交换平台建设，建立政务信息资源共享目录，加强跨地区、跨部门信息数据共享应用。推行“互联网+政务服务”新模式，推进同城化政策“一键了解”“一键办理”，实行同城化项目“网上办、预约办、帮代办、自助办”。支持范家屯、大岭、响水等同城化先导区先行先试，鼓励有关开发区或镇区打造长春市国家级开发区的“飞地”。稳妥推进公主岭撤市设区，打造成长春市新城区。</w:t>
      </w:r>
    </w:p>
    <w:p w14:paraId="17A448A8" w14:textId="77777777" w:rsidR="00501569" w:rsidRDefault="00C74794">
      <w:pPr>
        <w:ind w:firstLineChars="200" w:firstLine="643"/>
        <w:rPr>
          <w:rFonts w:ascii="仿宋_GB2312" w:eastAsia="仿宋_GB2312" w:hAnsi="仿宋_GB2312" w:cs="仿宋_GB2312"/>
          <w:sz w:val="32"/>
          <w:szCs w:val="32"/>
        </w:rPr>
      </w:pPr>
      <w:bookmarkStart w:id="84" w:name="_Toc40456102"/>
      <w:r>
        <w:rPr>
          <w:rFonts w:ascii="仿宋_GB2312" w:eastAsia="仿宋_GB2312" w:hAnsi="仿宋_GB2312" w:cs="仿宋_GB2312" w:hint="eastAsia"/>
          <w:b/>
          <w:sz w:val="32"/>
          <w:szCs w:val="32"/>
        </w:rPr>
        <w:t>推进要素同城化</w:t>
      </w:r>
      <w:bookmarkEnd w:id="84"/>
      <w:r>
        <w:rPr>
          <w:rFonts w:ascii="仿宋_GB2312" w:eastAsia="仿宋_GB2312" w:hAnsi="仿宋_GB2312" w:cs="仿宋_GB2312" w:hint="eastAsia"/>
          <w:b/>
          <w:sz w:val="32"/>
          <w:szCs w:val="32"/>
        </w:rPr>
        <w:t>新机制。</w:t>
      </w:r>
      <w:r>
        <w:rPr>
          <w:rFonts w:ascii="仿宋_GB2312" w:eastAsia="仿宋_GB2312" w:hAnsi="仿宋_GB2312" w:cs="仿宋_GB2312" w:hint="eastAsia"/>
          <w:sz w:val="32"/>
          <w:szCs w:val="32"/>
        </w:rPr>
        <w:t>推动设立同城化引导资金和建设基金，支持同城化基础设施建设、重点产业发展和生态保护项目。加速金融服务同城化，取消异地手续费，建立覆盖两地、多行业通用的金融IC卡信息支付系统。优先安排同城化建设重点项目新增用地指标。推进户籍同城化进程，强化同城化发展人才支撑，鼓励公主岭就业服务机构建设长春人力资源市场分市场。稳妥推进土地、劳动力、资金等要素与长春市同城同价。</w:t>
      </w:r>
    </w:p>
    <w:p w14:paraId="148401D7" w14:textId="77777777" w:rsidR="00501569" w:rsidRDefault="00C74794">
      <w:pPr>
        <w:ind w:firstLineChars="200" w:firstLine="643"/>
        <w:rPr>
          <w:rFonts w:ascii="仿宋_GB2312" w:eastAsia="仿宋_GB2312" w:hAnsi="仿宋_GB2312" w:cs="仿宋_GB2312"/>
          <w:sz w:val="32"/>
          <w:szCs w:val="32"/>
        </w:rPr>
      </w:pPr>
      <w:bookmarkStart w:id="85" w:name="_Toc40456103"/>
      <w:r>
        <w:rPr>
          <w:rFonts w:ascii="仿宋_GB2312" w:eastAsia="仿宋_GB2312" w:hAnsi="仿宋_GB2312" w:cs="仿宋_GB2312" w:hint="eastAsia"/>
          <w:b/>
          <w:sz w:val="32"/>
          <w:szCs w:val="32"/>
        </w:rPr>
        <w:t>推进公共服务同城化新机制</w:t>
      </w:r>
      <w:bookmarkEnd w:id="85"/>
      <w:r>
        <w:rPr>
          <w:rFonts w:ascii="仿宋_GB2312" w:eastAsia="仿宋_GB2312" w:hAnsi="仿宋_GB2312" w:cs="仿宋_GB2312" w:hint="eastAsia"/>
          <w:b/>
          <w:sz w:val="32"/>
          <w:szCs w:val="32"/>
        </w:rPr>
        <w:t>。</w:t>
      </w:r>
      <w:r>
        <w:rPr>
          <w:rFonts w:ascii="仿宋_GB2312" w:eastAsia="仿宋_GB2312" w:hAnsi="仿宋_GB2312" w:cs="仿宋_GB2312" w:hint="eastAsia"/>
          <w:sz w:val="32"/>
          <w:szCs w:val="32"/>
        </w:rPr>
        <w:t>建立教育资源同城化促进</w:t>
      </w:r>
      <w:r>
        <w:rPr>
          <w:rFonts w:ascii="仿宋_GB2312" w:eastAsia="仿宋_GB2312" w:hAnsi="仿宋_GB2312" w:cs="仿宋_GB2312" w:hint="eastAsia"/>
          <w:sz w:val="32"/>
          <w:szCs w:val="32"/>
        </w:rPr>
        <w:lastRenderedPageBreak/>
        <w:t>机制，与长春市</w:t>
      </w:r>
      <w:r>
        <w:rPr>
          <w:rFonts w:ascii="仿宋_GB2312" w:eastAsia="仿宋_GB2312" w:hAnsi="仿宋_GB2312" w:cs="仿宋_GB2312" w:hint="eastAsia"/>
          <w:bCs/>
          <w:sz w:val="32"/>
          <w:szCs w:val="32"/>
        </w:rPr>
        <w:t>共建优质教育共享平台</w:t>
      </w:r>
      <w:r>
        <w:rPr>
          <w:rFonts w:ascii="仿宋_GB2312" w:eastAsia="仿宋_GB2312" w:hAnsi="仿宋_GB2312" w:cs="仿宋_GB2312" w:hint="eastAsia"/>
          <w:sz w:val="32"/>
          <w:szCs w:val="32"/>
        </w:rPr>
        <w:t>、共建基础教育、职业教育、继续教育等机构。</w:t>
      </w:r>
      <w:r>
        <w:rPr>
          <w:rFonts w:ascii="仿宋_GB2312" w:eastAsia="仿宋_GB2312" w:hAnsi="仿宋_GB2312" w:cs="仿宋_GB2312" w:hint="eastAsia"/>
          <w:bCs/>
          <w:sz w:val="32"/>
          <w:szCs w:val="32"/>
        </w:rPr>
        <w:t>建立医疗卫生资源同城化共享机制，推进</w:t>
      </w:r>
      <w:r>
        <w:rPr>
          <w:rFonts w:ascii="仿宋_GB2312" w:eastAsia="仿宋_GB2312" w:hAnsi="仿宋_GB2312" w:cs="仿宋_GB2312" w:hint="eastAsia"/>
          <w:sz w:val="32"/>
          <w:szCs w:val="32"/>
        </w:rPr>
        <w:t>定点医院双向转诊、医保定点互认、专家远程会诊、</w:t>
      </w:r>
      <w:r>
        <w:rPr>
          <w:rFonts w:ascii="仿宋_GB2312" w:eastAsia="仿宋_GB2312" w:hAnsi="仿宋_GB2312" w:cs="仿宋_GB2312" w:hint="eastAsia"/>
          <w:bCs/>
          <w:sz w:val="32"/>
          <w:szCs w:val="32"/>
        </w:rPr>
        <w:t>检查结果互认、</w:t>
      </w:r>
      <w:r>
        <w:rPr>
          <w:rFonts w:ascii="仿宋_GB2312" w:eastAsia="仿宋_GB2312" w:hAnsi="仿宋_GB2312" w:cs="仿宋_GB2312" w:hint="eastAsia"/>
          <w:sz w:val="32"/>
          <w:szCs w:val="32"/>
        </w:rPr>
        <w:t>急诊报销同城结算等制度。建立社会保障同城化统筹机制，实现城乡社保医保、最低工资、最低生活保障、残疾人救助等与长春市统一标准。建立乡村发展同城化协同机制，按照长春市辖区各项标准，建立乡村振兴财政投入保障机制。建设互联互通的同城化市场体系，推进商品市场充分流通，统一准入标准，享受同等待遇，实现登记注册、投资融资、税收优惠等服务同城化。</w:t>
      </w:r>
    </w:p>
    <w:p w14:paraId="27476069" w14:textId="77777777" w:rsidR="00501569" w:rsidRPr="005717BE" w:rsidRDefault="00C74794" w:rsidP="0045498C">
      <w:pPr>
        <w:keepNext/>
        <w:keepLines/>
        <w:adjustRightInd w:val="0"/>
        <w:spacing w:beforeLines="50" w:before="156" w:afterLines="50" w:after="156"/>
        <w:jc w:val="center"/>
        <w:outlineLvl w:val="1"/>
        <w:rPr>
          <w:rFonts w:ascii="楷体_GB2312" w:eastAsia="楷体_GB2312" w:hAnsi="楷体_GB2312" w:cs="楷体_GB2312"/>
          <w:b/>
          <w:bCs/>
          <w:sz w:val="32"/>
          <w:szCs w:val="32"/>
        </w:rPr>
      </w:pPr>
      <w:bookmarkStart w:id="86" w:name="_Toc14829"/>
      <w:bookmarkStart w:id="87" w:name="_Toc40456104"/>
      <w:r w:rsidRPr="005717BE">
        <w:rPr>
          <w:rFonts w:ascii="楷体_GB2312" w:eastAsia="楷体_GB2312" w:hAnsi="楷体_GB2312" w:cs="楷体_GB2312" w:hint="eastAsia"/>
          <w:b/>
          <w:bCs/>
          <w:sz w:val="32"/>
          <w:szCs w:val="32"/>
        </w:rPr>
        <w:t>第二节 打造市场化法治化国际化营商环境</w:t>
      </w:r>
      <w:bookmarkEnd w:id="86"/>
    </w:p>
    <w:p w14:paraId="784A64AC" w14:textId="77777777" w:rsidR="00501569" w:rsidRDefault="00C74794">
      <w:pPr>
        <w:ind w:firstLineChars="200" w:firstLine="640"/>
        <w:rPr>
          <w:rFonts w:ascii="仿宋_GB2312" w:eastAsia="仿宋_GB2312" w:hAnsi="仿宋_GB2312" w:cs="仿宋_GB2312"/>
          <w:bCs/>
          <w:color w:val="000000"/>
          <w:sz w:val="32"/>
          <w:szCs w:val="32"/>
        </w:rPr>
      </w:pPr>
      <w:r>
        <w:rPr>
          <w:rFonts w:ascii="仿宋_GB2312" w:eastAsia="仿宋_GB2312" w:hAnsi="仿宋_GB2312" w:cs="仿宋_GB2312" w:hint="eastAsia"/>
          <w:sz w:val="32"/>
          <w:szCs w:val="32"/>
        </w:rPr>
        <w:t>贯彻落实《吉林省优化营商环境条例》，对标先进地区，全方位打造市场化、法治化、国际化营商环境，充分激发各类市场主体发展活力，提高市场主体满意度和获得感。</w:t>
      </w:r>
    </w:p>
    <w:p w14:paraId="59051417" w14:textId="77777777" w:rsidR="00501569" w:rsidRDefault="00C74794">
      <w:pPr>
        <w:ind w:firstLine="643"/>
        <w:rPr>
          <w:rFonts w:ascii="仿宋_GB2312" w:eastAsia="仿宋_GB2312" w:hAnsi="仿宋_GB2312" w:cs="仿宋_GB2312"/>
          <w:bCs/>
          <w:color w:val="000000"/>
          <w:sz w:val="32"/>
          <w:szCs w:val="32"/>
        </w:rPr>
      </w:pPr>
      <w:r>
        <w:rPr>
          <w:rStyle w:val="3Char"/>
          <w:rFonts w:hAnsi="仿宋_GB2312" w:cs="仿宋_GB2312" w:hint="eastAsia"/>
          <w:bCs/>
        </w:rPr>
        <w:t>建设活力有序的市场化环境</w:t>
      </w:r>
      <w:r>
        <w:rPr>
          <w:rFonts w:ascii="仿宋_GB2312" w:eastAsia="仿宋_GB2312" w:hAnsi="仿宋_GB2312" w:cs="仿宋_GB2312" w:hint="eastAsia"/>
          <w:b/>
          <w:bCs/>
          <w:color w:val="000000"/>
          <w:sz w:val="32"/>
          <w:szCs w:val="32"/>
        </w:rPr>
        <w:t>。</w:t>
      </w:r>
      <w:r>
        <w:rPr>
          <w:rFonts w:ascii="仿宋_GB2312" w:eastAsia="仿宋_GB2312" w:hAnsi="仿宋_GB2312" w:cs="仿宋_GB2312" w:hint="eastAsia"/>
          <w:bCs/>
          <w:sz w:val="32"/>
          <w:szCs w:val="32"/>
        </w:rPr>
        <w:t>落实市场准入负面清单制度和第三方评估机制，进一步放宽准入限制，建立清单代码体系，使清单事项与行政审批体系紧密衔接、相互匹配。严格执行民间资本“非禁即入”、公平竞争。</w:t>
      </w:r>
      <w:r>
        <w:rPr>
          <w:rFonts w:ascii="仿宋_GB2312" w:eastAsia="仿宋_GB2312" w:hAnsi="仿宋_GB2312" w:cs="仿宋_GB2312" w:hint="eastAsia"/>
          <w:sz w:val="32"/>
          <w:szCs w:val="32"/>
        </w:rPr>
        <w:t>建设覆盖全市的信用信息共享平台和</w:t>
      </w:r>
      <w:r>
        <w:rPr>
          <w:rFonts w:ascii="仿宋_GB2312" w:eastAsia="仿宋_GB2312" w:hAnsi="仿宋_GB2312" w:cs="仿宋_GB2312" w:hint="eastAsia"/>
          <w:bCs/>
          <w:color w:val="000000"/>
          <w:sz w:val="32"/>
          <w:szCs w:val="32"/>
        </w:rPr>
        <w:t>融资综合信用服务平台</w:t>
      </w:r>
      <w:r>
        <w:rPr>
          <w:rFonts w:ascii="仿宋_GB2312" w:eastAsia="仿宋_GB2312" w:hAnsi="仿宋_GB2312" w:cs="仿宋_GB2312" w:hint="eastAsia"/>
          <w:sz w:val="32"/>
          <w:szCs w:val="32"/>
        </w:rPr>
        <w:t>，启动“中小企业诚信建设工程”，建立企业家个人信用记录和诚信档案</w:t>
      </w:r>
      <w:r>
        <w:rPr>
          <w:rFonts w:ascii="仿宋_GB2312" w:eastAsia="仿宋_GB2312" w:hAnsi="仿宋_GB2312" w:cs="仿宋_GB2312" w:hint="eastAsia"/>
          <w:bCs/>
          <w:color w:val="000000"/>
          <w:sz w:val="32"/>
          <w:szCs w:val="32"/>
        </w:rPr>
        <w:t>，提高信用状况良好市场主体的信用评级和融资可得性。</w:t>
      </w:r>
      <w:r>
        <w:rPr>
          <w:rFonts w:ascii="仿宋_GB2312" w:eastAsia="仿宋_GB2312" w:hAnsi="仿宋_GB2312" w:cs="仿宋_GB2312" w:hint="eastAsia"/>
          <w:sz w:val="32"/>
          <w:szCs w:val="32"/>
        </w:rPr>
        <w:t>对标前沿标准，聚焦开办企业、办理建筑许可、获得电力供应、登记</w:t>
      </w:r>
      <w:r>
        <w:rPr>
          <w:rFonts w:ascii="仿宋_GB2312" w:eastAsia="仿宋_GB2312" w:hAnsi="仿宋_GB2312" w:cs="仿宋_GB2312" w:hint="eastAsia"/>
          <w:sz w:val="32"/>
          <w:szCs w:val="32"/>
        </w:rPr>
        <w:lastRenderedPageBreak/>
        <w:t>财产、获得信贷、投资者保护、纳税、跨境贸易、合同执行和办理破产等关键领域，持续提升营商便利度水平。</w:t>
      </w:r>
      <w:r>
        <w:rPr>
          <w:rStyle w:val="3Char"/>
          <w:rFonts w:hAnsi="仿宋_GB2312" w:cs="仿宋_GB2312" w:hint="eastAsia"/>
          <w:b w:val="0"/>
        </w:rPr>
        <w:t>促进企业降本减负增效，</w:t>
      </w:r>
      <w:r>
        <w:rPr>
          <w:rFonts w:ascii="仿宋_GB2312" w:eastAsia="仿宋_GB2312" w:hAnsi="仿宋_GB2312" w:cs="仿宋_GB2312" w:hint="eastAsia"/>
          <w:bCs/>
          <w:sz w:val="32"/>
          <w:szCs w:val="32"/>
        </w:rPr>
        <w:t>保障各级各类市场主体依法、全面、高效、便捷地享受减税、免税、退税等优惠政策。</w:t>
      </w:r>
      <w:r>
        <w:rPr>
          <w:rFonts w:ascii="仿宋_GB2312" w:eastAsia="仿宋_GB2312" w:hAnsi="仿宋_GB2312" w:cs="仿宋_GB2312" w:hint="eastAsia"/>
          <w:sz w:val="32"/>
          <w:szCs w:val="32"/>
        </w:rPr>
        <w:t>落实国家和省级各项降本减负措施，</w:t>
      </w:r>
      <w:r>
        <w:rPr>
          <w:rFonts w:ascii="仿宋_GB2312" w:eastAsia="仿宋_GB2312" w:hAnsi="仿宋_GB2312" w:cs="仿宋_GB2312" w:hint="eastAsia"/>
          <w:bCs/>
          <w:sz w:val="32"/>
          <w:szCs w:val="32"/>
        </w:rPr>
        <w:t>推动涉企行政事业零收费，</w:t>
      </w:r>
      <w:r>
        <w:rPr>
          <w:rFonts w:ascii="仿宋_GB2312" w:eastAsia="仿宋_GB2312" w:hAnsi="仿宋_GB2312" w:cs="仿宋_GB2312" w:hint="eastAsia"/>
          <w:sz w:val="32"/>
          <w:szCs w:val="32"/>
        </w:rPr>
        <w:t>降低企业融资、用工、用地和用能成本。</w:t>
      </w:r>
      <w:r>
        <w:rPr>
          <w:rFonts w:ascii="仿宋_GB2312" w:eastAsia="仿宋_GB2312" w:hAnsi="仿宋_GB2312" w:cs="仿宋_GB2312" w:hint="eastAsia"/>
          <w:bCs/>
          <w:color w:val="000000"/>
          <w:sz w:val="32"/>
          <w:szCs w:val="32"/>
        </w:rPr>
        <w:t>完善民营企业直接融资支持制度和融资增信支持体系，</w:t>
      </w:r>
      <w:r>
        <w:rPr>
          <w:rFonts w:ascii="仿宋_GB2312" w:eastAsia="仿宋_GB2312" w:hAnsi="仿宋_GB2312" w:cs="仿宋_GB2312" w:hint="eastAsia"/>
          <w:bCs/>
          <w:sz w:val="32"/>
          <w:szCs w:val="32"/>
        </w:rPr>
        <w:t>建设产融信息对接服务平台。</w:t>
      </w:r>
    </w:p>
    <w:p w14:paraId="32E0AF11" w14:textId="77777777" w:rsidR="00501569" w:rsidRDefault="00C74794">
      <w:pPr>
        <w:ind w:firstLineChars="200" w:firstLine="643"/>
        <w:rPr>
          <w:rFonts w:ascii="仿宋_GB2312" w:eastAsia="仿宋_GB2312" w:hAnsi="仿宋_GB2312" w:cs="仿宋_GB2312"/>
          <w:sz w:val="32"/>
          <w:szCs w:val="32"/>
        </w:rPr>
      </w:pPr>
      <w:r>
        <w:rPr>
          <w:rStyle w:val="3Char"/>
          <w:rFonts w:hAnsi="仿宋_GB2312" w:cs="仿宋_GB2312" w:hint="eastAsia"/>
          <w:bCs/>
        </w:rPr>
        <w:t>建设公平正义的法治化环境。</w:t>
      </w:r>
      <w:r>
        <w:rPr>
          <w:rStyle w:val="3Char"/>
          <w:rFonts w:hAnsi="仿宋_GB2312" w:cs="仿宋_GB2312" w:hint="eastAsia"/>
          <w:b w:val="0"/>
        </w:rPr>
        <w:t>全面落实公平竞争审查制度，强化公平竞争审查的刚性约束，切实加强和改进反垄断和反不正当竞争执法。</w:t>
      </w:r>
      <w:r>
        <w:rPr>
          <w:rFonts w:ascii="仿宋_GB2312" w:eastAsia="仿宋_GB2312" w:hAnsi="仿宋_GB2312" w:cs="仿宋_GB2312" w:hint="eastAsia"/>
          <w:sz w:val="32"/>
          <w:szCs w:val="32"/>
        </w:rPr>
        <w:t>健全产权保护制度，加强知识产权保护，建立知识产权侵权惩罚性赔偿制度。建设公共法律服务中心，加强对市场主体的法律帮扶，公正高效办理涉及市场主体各类案件，帮助企业规范健康发展。依法规范实施药品安全、安全生产、公共安全、环境保护、劳动保障等直接涉及公众生命财产安全的检查监管。完善企业负担投诉举报受理快速机制，常态化开展涉企收费专项督查暗访工作。</w:t>
      </w:r>
    </w:p>
    <w:p w14:paraId="70A8EA8D" w14:textId="77777777" w:rsidR="00501569" w:rsidRDefault="00C74794">
      <w:pPr>
        <w:ind w:firstLineChars="200" w:firstLine="643"/>
        <w:rPr>
          <w:sz w:val="32"/>
          <w:szCs w:val="32"/>
        </w:rPr>
      </w:pPr>
      <w:r>
        <w:rPr>
          <w:rFonts w:ascii="仿宋_GB2312" w:eastAsia="仿宋_GB2312" w:hAnsi="仿宋_GB2312" w:cs="仿宋_GB2312" w:hint="eastAsia"/>
          <w:b/>
          <w:bCs/>
          <w:sz w:val="32"/>
          <w:szCs w:val="32"/>
        </w:rPr>
        <w:t>建设开放包容的国际化环境。</w:t>
      </w:r>
      <w:r>
        <w:rPr>
          <w:rFonts w:ascii="仿宋_GB2312" w:eastAsia="仿宋_GB2312" w:hAnsi="仿宋_GB2312" w:cs="仿宋_GB2312" w:hint="eastAsia"/>
          <w:sz w:val="32"/>
          <w:szCs w:val="32"/>
        </w:rPr>
        <w:t>实施外商投资准入前国民待遇加负面清单管理制度，加大对外商投资企业享有准入后国民待遇的保障力度。简化外商投资贸易环节和程序，取消外商投资公司的最低注册资本要求，推行外商投资企业商务备案与企业登记“一口办理”。立足投资领域“双循环”，设立投资促进服务咨询点，完善域外投资促进、保护、管理等</w:t>
      </w:r>
      <w:r>
        <w:rPr>
          <w:rFonts w:ascii="仿宋_GB2312" w:eastAsia="仿宋_GB2312" w:hAnsi="仿宋_GB2312" w:cs="仿宋_GB2312" w:hint="eastAsia"/>
          <w:sz w:val="32"/>
          <w:szCs w:val="32"/>
        </w:rPr>
        <w:lastRenderedPageBreak/>
        <w:t>配套制度安排，建立重点域外投资企业联系制度，着力实施一批招商引资和利用外资标志性工程项目。</w:t>
      </w:r>
    </w:p>
    <w:p w14:paraId="1B3B1916" w14:textId="77777777" w:rsidR="00501569" w:rsidRPr="005717BE" w:rsidRDefault="00C74794" w:rsidP="0045498C">
      <w:pPr>
        <w:keepNext/>
        <w:keepLines/>
        <w:adjustRightInd w:val="0"/>
        <w:spacing w:beforeLines="50" w:before="156" w:afterLines="50" w:after="156"/>
        <w:jc w:val="center"/>
        <w:outlineLvl w:val="1"/>
        <w:rPr>
          <w:rFonts w:ascii="楷体_GB2312" w:eastAsia="楷体_GB2312" w:hAnsi="楷体_GB2312" w:cs="楷体_GB2312"/>
          <w:b/>
          <w:bCs/>
          <w:sz w:val="32"/>
          <w:szCs w:val="32"/>
        </w:rPr>
      </w:pPr>
      <w:bookmarkStart w:id="88" w:name="_Toc44843794"/>
      <w:bookmarkStart w:id="89" w:name="_Toc413"/>
      <w:r w:rsidRPr="005717BE">
        <w:rPr>
          <w:rFonts w:ascii="楷体_GB2312" w:eastAsia="楷体_GB2312" w:hAnsi="楷体_GB2312" w:cs="楷体_GB2312" w:hint="eastAsia"/>
          <w:b/>
          <w:bCs/>
          <w:sz w:val="32"/>
          <w:szCs w:val="32"/>
        </w:rPr>
        <w:t>第三节 提高行政运行效率</w:t>
      </w:r>
      <w:bookmarkEnd w:id="87"/>
      <w:bookmarkEnd w:id="88"/>
      <w:bookmarkEnd w:id="89"/>
    </w:p>
    <w:p w14:paraId="453E3031"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加快转变政府职能，持续深化最彻底的“放管服”改革，全面实行政府权责清单制度，最大限度减少政府对市场资源和活动的直接干预，大幅提高行政运行效率。</w:t>
      </w:r>
    </w:p>
    <w:p w14:paraId="7DCBA169" w14:textId="77777777" w:rsidR="00501569" w:rsidRDefault="00C74794">
      <w:pPr>
        <w:ind w:firstLineChars="200" w:firstLine="643"/>
        <w:rPr>
          <w:rFonts w:ascii="仿宋_GB2312" w:eastAsia="仿宋_GB2312" w:hAnsi="仿宋_GB2312" w:cs="仿宋_GB2312"/>
          <w:bCs/>
          <w:sz w:val="32"/>
          <w:szCs w:val="32"/>
        </w:rPr>
      </w:pPr>
      <w:bookmarkStart w:id="90" w:name="_Toc40456105"/>
      <w:r>
        <w:rPr>
          <w:rStyle w:val="3Char"/>
          <w:rFonts w:hAnsi="仿宋_GB2312" w:cs="仿宋_GB2312" w:hint="eastAsia"/>
          <w:bCs/>
        </w:rPr>
        <w:t>加快转变政府职能</w:t>
      </w:r>
      <w:bookmarkEnd w:id="90"/>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深化“放管服”改革，完善政府权力清单、责任清单、投资负面清单和财政专项资金管理清单“四张清单”制度。构建新型政府权力结构，完善经济调节、市场监管、社会管理、公共服务、生态环保等职能，强化直接面向企业和群众的服务管理，加强政府执行和执法监管。</w:t>
      </w:r>
      <w:bookmarkStart w:id="91" w:name="_Toc40456106"/>
      <w:r>
        <w:rPr>
          <w:rFonts w:ascii="仿宋_GB2312" w:eastAsia="仿宋_GB2312" w:hAnsi="仿宋_GB2312" w:cs="仿宋_GB2312" w:hint="eastAsia"/>
          <w:sz w:val="32"/>
          <w:szCs w:val="32"/>
        </w:rPr>
        <w:t>深化行政审批制度改革，推动制度重塑与技术创新融合，简化整合审批环节和程序。以新型政绩观</w:t>
      </w:r>
      <w:r>
        <w:rPr>
          <w:rStyle w:val="3Char"/>
          <w:rFonts w:hAnsi="仿宋_GB2312" w:cs="仿宋_GB2312" w:hint="eastAsia"/>
          <w:b w:val="0"/>
        </w:rPr>
        <w:t>和正向激励</w:t>
      </w:r>
      <w:r>
        <w:rPr>
          <w:rFonts w:ascii="仿宋_GB2312" w:eastAsia="仿宋_GB2312" w:hAnsi="仿宋_GB2312" w:cs="仿宋_GB2312" w:hint="eastAsia"/>
          <w:sz w:val="32"/>
          <w:szCs w:val="32"/>
        </w:rPr>
        <w:t>为导向，建立正确的干部选拔任用、尽职免责和容错纠错机制，健全绩效评价考核机制和干部考评机制，激发干事创业积极性。</w:t>
      </w:r>
    </w:p>
    <w:p w14:paraId="07FC42A4" w14:textId="77777777" w:rsidR="00501569" w:rsidRDefault="00C74794">
      <w:pPr>
        <w:ind w:firstLineChars="200" w:firstLine="643"/>
        <w:rPr>
          <w:rFonts w:ascii="仿宋_GB2312" w:eastAsia="仿宋_GB2312" w:hAnsi="仿宋" w:cs="仿宋_GB2312"/>
          <w:bCs/>
          <w:sz w:val="32"/>
          <w:szCs w:val="32"/>
        </w:rPr>
      </w:pPr>
      <w:r>
        <w:rPr>
          <w:rStyle w:val="3Char"/>
          <w:rFonts w:hAnsi="仿宋_GB2312" w:cs="仿宋_GB2312" w:hint="eastAsia"/>
          <w:bCs/>
        </w:rPr>
        <w:t>加强市场监管服务</w:t>
      </w:r>
      <w:bookmarkEnd w:id="91"/>
      <w:r>
        <w:rPr>
          <w:rStyle w:val="3Char"/>
          <w:rFonts w:hAnsi="仿宋_GB2312" w:cs="仿宋_GB2312" w:hint="eastAsia"/>
          <w:bCs/>
        </w:rPr>
        <w:t>。</w:t>
      </w:r>
      <w:r>
        <w:rPr>
          <w:rFonts w:ascii="仿宋_GB2312" w:eastAsia="仿宋_GB2312" w:hAnsi="仿宋_GB2312" w:cs="仿宋_GB2312" w:hint="eastAsia"/>
          <w:sz w:val="32"/>
          <w:szCs w:val="32"/>
        </w:rPr>
        <w:t>完善以“双随机，一公开”监管为基本手段、以重点监管为补充、以信用监管为基础的新型监管机制，健全覆盖事前、事中和事后全监管环节的新型监管格局。强化政府执行和执法监管，严格市场监管、质量监管、安全监管，健全对新业态的包容审慎监管制度。</w:t>
      </w:r>
      <w:r>
        <w:rPr>
          <w:rFonts w:ascii="仿宋_GB2312" w:eastAsia="仿宋_GB2312" w:hAnsi="仿宋" w:hint="eastAsia"/>
          <w:bCs/>
          <w:sz w:val="32"/>
          <w:szCs w:val="32"/>
        </w:rPr>
        <w:t>以食品安全、药品安全、疫苗安全为重点，</w:t>
      </w:r>
      <w:r>
        <w:rPr>
          <w:rFonts w:ascii="仿宋_GB2312" w:eastAsia="仿宋_GB2312" w:hAnsi="仿宋" w:cs="Times New Roman" w:hint="eastAsia"/>
          <w:bCs/>
          <w:sz w:val="32"/>
          <w:szCs w:val="32"/>
        </w:rPr>
        <w:t>健全统一权威的全过程安全监管体系，确保人民群众饮食用药和生命健康安全</w:t>
      </w:r>
      <w:r>
        <w:rPr>
          <w:rFonts w:ascii="仿宋_GB2312" w:eastAsia="仿宋_GB2312" w:hAnsi="仿宋" w:cs="仿宋_GB2312" w:hint="eastAsia"/>
          <w:bCs/>
          <w:sz w:val="32"/>
          <w:szCs w:val="32"/>
        </w:rPr>
        <w:t>。</w:t>
      </w:r>
    </w:p>
    <w:p w14:paraId="73954D0A" w14:textId="77777777" w:rsidR="00501569" w:rsidRDefault="00C74794">
      <w:pPr>
        <w:ind w:firstLineChars="200" w:firstLine="643"/>
        <w:rPr>
          <w:rFonts w:ascii="仿宋_GB2312" w:eastAsia="仿宋_GB2312" w:hAnsi="仿宋_GB2312" w:cs="仿宋_GB2312"/>
          <w:sz w:val="32"/>
          <w:szCs w:val="32"/>
        </w:rPr>
      </w:pPr>
      <w:r>
        <w:rPr>
          <w:rStyle w:val="3Char"/>
          <w:rFonts w:hAnsi="仿宋_GB2312" w:cs="仿宋_GB2312" w:hint="eastAsia"/>
          <w:bCs/>
        </w:rPr>
        <w:lastRenderedPageBreak/>
        <w:t>建设便捷高效的政务环境。</w:t>
      </w:r>
      <w:r>
        <w:rPr>
          <w:rFonts w:ascii="仿宋_GB2312" w:eastAsia="仿宋_GB2312" w:hAnsi="仿宋_GB2312" w:cs="仿宋_GB2312" w:hint="eastAsia"/>
          <w:bCs/>
          <w:color w:val="000000"/>
          <w:sz w:val="32"/>
          <w:szCs w:val="32"/>
        </w:rPr>
        <w:t>落实全省统一标准的</w:t>
      </w:r>
      <w:r>
        <w:rPr>
          <w:rFonts w:ascii="仿宋_GB2312" w:eastAsia="仿宋_GB2312" w:hAnsi="仿宋_GB2312" w:cs="仿宋_GB2312" w:hint="eastAsia"/>
          <w:sz w:val="32"/>
          <w:szCs w:val="32"/>
        </w:rPr>
        <w:t>政务服务事项清单和办事指南，切实减少审批事项，提高办事效率，增强群众和企业满意度。持续深化商事制度改革</w:t>
      </w:r>
      <w:r>
        <w:rPr>
          <w:rFonts w:ascii="仿宋_GB2312" w:eastAsia="仿宋_GB2312" w:hAnsi="仿宋" w:cs="Times New Roman" w:hint="eastAsia"/>
          <w:sz w:val="32"/>
          <w:szCs w:val="32"/>
        </w:rPr>
        <w:t>，</w:t>
      </w:r>
      <w:r>
        <w:rPr>
          <w:rFonts w:ascii="仿宋_GB2312" w:eastAsia="仿宋_GB2312" w:hAnsi="仿宋_GB2312" w:cs="仿宋_GB2312" w:hint="eastAsia"/>
          <w:sz w:val="32"/>
          <w:szCs w:val="32"/>
        </w:rPr>
        <w:t>推进“减证照、压许可”、“证照分离”和</w:t>
      </w:r>
      <w:r>
        <w:rPr>
          <w:rFonts w:ascii="仿宋_GB2312" w:eastAsia="仿宋_GB2312" w:hAnsi="仿宋" w:cs="Times New Roman" w:hint="eastAsia"/>
          <w:sz w:val="32"/>
          <w:szCs w:val="32"/>
        </w:rPr>
        <w:t>工商登记全程电子化</w:t>
      </w:r>
      <w:r>
        <w:rPr>
          <w:rFonts w:ascii="仿宋_GB2312" w:eastAsia="仿宋_GB2312" w:hAnsi="仿宋_GB2312" w:cs="仿宋_GB2312" w:hint="eastAsia"/>
          <w:sz w:val="32"/>
          <w:szCs w:val="32"/>
        </w:rPr>
        <w:t>。完善投资项目“一窗受理，集成服务”，推行“三集中、三到位”、“五个合一”，实行企业投资项目“多评合一”并联审批。建立</w:t>
      </w:r>
      <w:r w:rsidR="0024493E">
        <w:rPr>
          <w:rFonts w:ascii="仿宋_GB2312" w:eastAsia="仿宋_GB2312" w:hAnsi="仿宋_GB2312" w:cs="仿宋_GB2312" w:hint="eastAsia"/>
          <w:sz w:val="32"/>
          <w:szCs w:val="32"/>
        </w:rPr>
        <w:t>政务</w:t>
      </w:r>
      <w:r>
        <w:rPr>
          <w:rFonts w:ascii="仿宋_GB2312" w:eastAsia="仿宋_GB2312" w:hAnsi="仿宋_GB2312" w:cs="仿宋_GB2312" w:hint="eastAsia"/>
          <w:sz w:val="32"/>
          <w:szCs w:val="32"/>
        </w:rPr>
        <w:t>服务“好差评”制度，推动实现“五级四同”政务服务事项标准化。构建“互联网+”政务服务体系，实施“七个一工程”，实现“三融五跨”，强化线上线下一体化办理模式，推进</w:t>
      </w:r>
      <w:r>
        <w:rPr>
          <w:rFonts w:ascii="仿宋_GB2312" w:eastAsia="仿宋_GB2312" w:hAnsi="仿宋_GB2312" w:cs="仿宋_GB2312" w:hint="eastAsia"/>
          <w:bCs/>
          <w:sz w:val="32"/>
          <w:szCs w:val="32"/>
        </w:rPr>
        <w:t>由“最多跑一次”向</w:t>
      </w:r>
      <w:r>
        <w:rPr>
          <w:rFonts w:ascii="仿宋_GB2312" w:eastAsia="仿宋_GB2312" w:hAnsi="仿宋_GB2312" w:cs="仿宋_GB2312" w:hint="eastAsia"/>
          <w:color w:val="000000"/>
          <w:sz w:val="32"/>
          <w:szCs w:val="32"/>
        </w:rPr>
        <w:t>“零见面、零障碍、零跑腿、零间断”转变</w:t>
      </w:r>
      <w:r>
        <w:rPr>
          <w:rFonts w:ascii="仿宋_GB2312" w:eastAsia="仿宋_GB2312" w:hAnsi="仿宋_GB2312" w:cs="仿宋_GB2312" w:hint="eastAsia"/>
          <w:bCs/>
          <w:sz w:val="32"/>
          <w:szCs w:val="32"/>
        </w:rPr>
        <w:t>。</w:t>
      </w:r>
    </w:p>
    <w:p w14:paraId="41B97311" w14:textId="77777777" w:rsidR="00501569" w:rsidRDefault="00C74794" w:rsidP="0045498C">
      <w:pPr>
        <w:spacing w:beforeLines="50" w:before="156" w:afterLines="50" w:after="156"/>
        <w:jc w:val="center"/>
        <w:outlineLvl w:val="0"/>
        <w:rPr>
          <w:rFonts w:ascii="黑体" w:eastAsia="黑体" w:hAnsi="黑体" w:cs="黑体"/>
          <w:w w:val="98"/>
          <w:sz w:val="32"/>
          <w:szCs w:val="32"/>
        </w:rPr>
      </w:pPr>
      <w:bookmarkStart w:id="92" w:name="_Toc11777"/>
      <w:r>
        <w:rPr>
          <w:rFonts w:ascii="黑体" w:eastAsia="黑体" w:hAnsi="黑体" w:cs="黑体" w:hint="eastAsia"/>
          <w:w w:val="98"/>
          <w:sz w:val="32"/>
          <w:szCs w:val="32"/>
        </w:rPr>
        <w:t>第十章 构建开放合作新格局，打造吉林</w:t>
      </w:r>
      <w:r>
        <w:rPr>
          <w:rFonts w:ascii="黑体" w:eastAsia="黑体" w:hAnsi="黑体" w:cs="黑体"/>
          <w:w w:val="98"/>
          <w:sz w:val="32"/>
          <w:szCs w:val="32"/>
        </w:rPr>
        <w:t>向南开放</w:t>
      </w:r>
      <w:r>
        <w:rPr>
          <w:rFonts w:ascii="黑体" w:eastAsia="黑体" w:hAnsi="黑体" w:cs="黑体" w:hint="eastAsia"/>
          <w:w w:val="98"/>
          <w:sz w:val="32"/>
          <w:szCs w:val="32"/>
        </w:rPr>
        <w:t>重要门户</w:t>
      </w:r>
      <w:bookmarkEnd w:id="92"/>
    </w:p>
    <w:p w14:paraId="02802587" w14:textId="77777777" w:rsidR="00501569" w:rsidRDefault="00C74794">
      <w:pPr>
        <w:pStyle w:val="ad"/>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统筹北融长春、南向沿海双翼共进，主动融入</w:t>
      </w:r>
      <w:r>
        <w:rPr>
          <w:rFonts w:ascii="仿宋_GB2312" w:eastAsia="仿宋_GB2312" w:hAnsi="仿宋_GB2312" w:cs="仿宋_GB2312"/>
          <w:sz w:val="32"/>
          <w:szCs w:val="32"/>
        </w:rPr>
        <w:t>长吉图开</w:t>
      </w:r>
      <w:r>
        <w:rPr>
          <w:rFonts w:ascii="仿宋_GB2312" w:eastAsia="仿宋_GB2312" w:hAnsi="仿宋_GB2312" w:cs="仿宋_GB2312" w:hint="eastAsia"/>
          <w:sz w:val="32"/>
          <w:szCs w:val="32"/>
        </w:rPr>
        <w:t>发</w:t>
      </w:r>
      <w:r>
        <w:rPr>
          <w:rFonts w:ascii="仿宋_GB2312" w:eastAsia="仿宋_GB2312" w:hAnsi="仿宋_GB2312" w:cs="仿宋_GB2312"/>
          <w:sz w:val="32"/>
          <w:szCs w:val="32"/>
        </w:rPr>
        <w:t>开放</w:t>
      </w:r>
      <w:r>
        <w:rPr>
          <w:rFonts w:ascii="仿宋_GB2312" w:eastAsia="仿宋_GB2312" w:hAnsi="仿宋_GB2312" w:cs="仿宋_GB2312" w:hint="eastAsia"/>
          <w:sz w:val="32"/>
          <w:szCs w:val="32"/>
        </w:rPr>
        <w:t>战略</w:t>
      </w:r>
      <w:r>
        <w:rPr>
          <w:rStyle w:val="af3"/>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推进与</w:t>
      </w:r>
      <w:r>
        <w:rPr>
          <w:rFonts w:ascii="仿宋_GB2312" w:eastAsia="仿宋_GB2312" w:hAnsi="仿宋_GB2312" w:cs="仿宋_GB2312" w:hint="eastAsia"/>
          <w:color w:val="000000"/>
          <w:sz w:val="32"/>
          <w:szCs w:val="32"/>
        </w:rPr>
        <w:t>国家“一带一路”和重大区域发展战略对接合作，</w:t>
      </w:r>
      <w:r>
        <w:rPr>
          <w:rFonts w:ascii="仿宋_GB2312" w:eastAsia="仿宋_GB2312" w:hAnsi="仿宋_GB2312" w:cs="仿宋_GB2312" w:hint="eastAsia"/>
          <w:sz w:val="32"/>
          <w:szCs w:val="32"/>
        </w:rPr>
        <w:t>完善开放平台和合作体系，实施精准招商策略，构建开放型经济新优势。</w:t>
      </w:r>
      <w:bookmarkStart w:id="93" w:name="_Toc40456114"/>
    </w:p>
    <w:p w14:paraId="092C5110" w14:textId="77777777" w:rsidR="00501569" w:rsidRPr="005717BE" w:rsidRDefault="00C74794" w:rsidP="0045498C">
      <w:pPr>
        <w:pStyle w:val="20"/>
        <w:spacing w:beforeLines="50" w:before="156" w:afterLines="50" w:after="156"/>
        <w:rPr>
          <w:rFonts w:ascii="楷体_GB2312" w:hAnsi="楷体_GB2312" w:cs="楷体_GB2312"/>
        </w:rPr>
      </w:pPr>
      <w:bookmarkStart w:id="94" w:name="_Toc174"/>
      <w:bookmarkEnd w:id="93"/>
      <w:r w:rsidRPr="005717BE">
        <w:rPr>
          <w:rFonts w:ascii="楷体_GB2312" w:hAnsi="楷体_GB2312" w:cs="楷体_GB2312" w:hint="eastAsia"/>
        </w:rPr>
        <w:t>第一节 加快融入国内国际新发展格局</w:t>
      </w:r>
      <w:bookmarkEnd w:id="94"/>
    </w:p>
    <w:p w14:paraId="042E7BF4" w14:textId="77777777" w:rsidR="00501569" w:rsidRDefault="00C74794">
      <w:pPr>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深化长吉图开发开放战略，融入共建“一带一路”，拓展国内外合作网络和开放渠道，发挥向南开放门户作用</w:t>
      </w:r>
      <w:r>
        <w:rPr>
          <w:rFonts w:ascii="仿宋_GB2312" w:eastAsia="仿宋_GB2312" w:hAnsi="仿宋_GB2312" w:cs="仿宋_GB2312" w:hint="eastAsia"/>
          <w:sz w:val="32"/>
          <w:szCs w:val="32"/>
        </w:rPr>
        <w:t>。</w:t>
      </w:r>
    </w:p>
    <w:p w14:paraId="0655FF66" w14:textId="77777777" w:rsidR="00501569" w:rsidRDefault="00C74794">
      <w:pPr>
        <w:ind w:firstLineChars="200" w:firstLine="643"/>
        <w:rPr>
          <w:rFonts w:ascii="仿宋_GB2312" w:eastAsia="仿宋_GB2312" w:hAnsi="仿宋_GB2312" w:cs="仿宋_GB2312"/>
          <w:sz w:val="32"/>
          <w:szCs w:val="32"/>
        </w:rPr>
      </w:pPr>
      <w:bookmarkStart w:id="95" w:name="_Toc40456117"/>
      <w:r>
        <w:rPr>
          <w:rStyle w:val="3Char"/>
          <w:rFonts w:hint="eastAsia"/>
          <w:bCs/>
        </w:rPr>
        <w:t>大力推动向南开放合作。</w:t>
      </w:r>
      <w:bookmarkEnd w:id="95"/>
      <w:r>
        <w:rPr>
          <w:rFonts w:ascii="仿宋_GB2312" w:eastAsia="仿宋_GB2312" w:hAnsi="仿宋_GB2312" w:cs="仿宋_GB2312" w:hint="eastAsia"/>
          <w:sz w:val="32"/>
          <w:szCs w:val="32"/>
        </w:rPr>
        <w:t>深化全方位对口合作，把粮食、绿色食品、汽车零部件合作作为主要突破口，建设对口合作</w:t>
      </w:r>
      <w:r>
        <w:rPr>
          <w:rFonts w:ascii="仿宋_GB2312" w:eastAsia="仿宋_GB2312" w:hAnsi="仿宋_GB2312" w:cs="仿宋_GB2312" w:hint="eastAsia"/>
          <w:sz w:val="32"/>
          <w:szCs w:val="32"/>
        </w:rPr>
        <w:lastRenderedPageBreak/>
        <w:t>平台和园区，推进与浙江衢州市、杭州萧山区、天津蓟州区对口合作取得更大突破，加快建立街道、乡镇级对口合作关系，更大规模引进发达地区的资本、技术和经验。</w:t>
      </w:r>
      <w:r>
        <w:rPr>
          <w:rFonts w:ascii="仿宋_GB2312" w:eastAsia="仿宋_GB2312" w:hAnsi="仿宋_GB2312" w:cs="仿宋_GB2312" w:hint="eastAsia"/>
          <w:color w:val="000000"/>
          <w:sz w:val="32"/>
          <w:szCs w:val="32"/>
        </w:rPr>
        <w:t>构建联通长春现代化都市圈与沿海发达城市紧密合作的物流中转基地、汽车产业基地和玉米加工产业基地，引领沿海地区资本涌入公主岭投资兴业。</w:t>
      </w:r>
      <w:r>
        <w:rPr>
          <w:rFonts w:ascii="仿宋_GB2312" w:eastAsia="仿宋_GB2312" w:hAnsi="仿宋_GB2312" w:cs="仿宋_GB2312" w:hint="eastAsia"/>
          <w:sz w:val="32"/>
          <w:szCs w:val="32"/>
        </w:rPr>
        <w:t>加强与四平、铁岭、沈阳、营口等东北地区城市合作，对接环渤海经济圈，</w:t>
      </w:r>
      <w:r>
        <w:rPr>
          <w:rFonts w:ascii="仿宋_GB2312" w:eastAsia="仿宋_GB2312" w:hAnsi="仿宋_GB2312" w:cs="仿宋_GB2312" w:hint="eastAsia"/>
          <w:sz w:val="32"/>
          <w:lang w:val="zh-TW"/>
        </w:rPr>
        <w:t>共建合作联盟、合作平台和经济合作区</w:t>
      </w:r>
      <w:r>
        <w:rPr>
          <w:rFonts w:ascii="仿宋_GB2312" w:eastAsia="仿宋_GB2312" w:hAnsi="仿宋_GB2312" w:cs="仿宋_GB2312" w:hint="eastAsia"/>
          <w:sz w:val="32"/>
          <w:szCs w:val="32"/>
        </w:rPr>
        <w:t>。加强与京津冀协同发展、长三角一体化、粤港澳大湾区等国家重大区域发展战略对接协作，支持企业深化经贸合作交流，推动企业到上海、深圳、香港资本市场上市，组织企业参加上海进博会、广交会、深圳高交会等重要展会。依托台湾工业园，深化与台湾相关地区的市场化合作机制。</w:t>
      </w:r>
    </w:p>
    <w:p w14:paraId="2C33A661" w14:textId="77777777" w:rsidR="00501569" w:rsidRDefault="00C74794">
      <w:pPr>
        <w:ind w:firstLineChars="200" w:firstLine="643"/>
        <w:rPr>
          <w:rFonts w:ascii="仿宋_GB2312" w:eastAsia="仿宋_GB2312" w:hAnsi="仿宋_GB2312" w:cs="仿宋_GB2312"/>
          <w:sz w:val="32"/>
          <w:szCs w:val="32"/>
        </w:rPr>
      </w:pPr>
      <w:r>
        <w:rPr>
          <w:rStyle w:val="3Char"/>
          <w:rFonts w:hint="eastAsia"/>
          <w:bCs/>
        </w:rPr>
        <w:t>大力推动国际开放合作。</w:t>
      </w:r>
      <w:r>
        <w:rPr>
          <w:rFonts w:ascii="仿宋_GB2312" w:eastAsia="仿宋_GB2312" w:hAnsi="仿宋_GB2312" w:cs="仿宋_GB2312" w:hint="eastAsia"/>
          <w:color w:val="000000"/>
          <w:sz w:val="32"/>
          <w:szCs w:val="32"/>
        </w:rPr>
        <w:t>拓展与日韩国家合作，鼓励汽车零部件、农产品加工企业引进日韩技术和生产设备，支持企业增加对日韩进出口规模。</w:t>
      </w:r>
      <w:r>
        <w:rPr>
          <w:rStyle w:val="3Char"/>
          <w:rFonts w:hint="eastAsia"/>
          <w:b w:val="0"/>
        </w:rPr>
        <w:t>融入</w:t>
      </w:r>
      <w:r>
        <w:rPr>
          <w:rStyle w:val="3Char"/>
          <w:b w:val="0"/>
        </w:rPr>
        <w:t>沿中蒙俄开发开放经济带</w:t>
      </w:r>
      <w:r>
        <w:rPr>
          <w:rFonts w:ascii="仿宋_GB2312" w:eastAsia="仿宋_GB2312" w:hAnsi="仿宋_GB2312" w:cs="仿宋_GB2312" w:hint="eastAsia"/>
          <w:color w:val="000000"/>
          <w:sz w:val="32"/>
          <w:szCs w:val="32"/>
        </w:rPr>
        <w:t>，围绕装备制造和现代食品等主导产业，加强与俄罗斯、乌克兰、德国等国家合作，布局建设中俄科技园公主岭合作基地、中乌玉米经济合作基地、中德关键零部件合作基地，提升汽车零部件、玉米经济和高新技术产业创新发展水平。</w:t>
      </w:r>
      <w:bookmarkStart w:id="96" w:name="_Toc40456118"/>
      <w:r>
        <w:rPr>
          <w:rStyle w:val="3Char"/>
          <w:rFonts w:hAnsi="仿宋_GB2312" w:cs="仿宋_GB2312" w:hint="eastAsia"/>
          <w:b w:val="0"/>
        </w:rPr>
        <w:t>推动建设国际友好城市体系</w:t>
      </w:r>
      <w:bookmarkEnd w:id="96"/>
      <w:r>
        <w:rPr>
          <w:rFonts w:ascii="仿宋_GB2312" w:eastAsia="仿宋_GB2312" w:hAnsi="仿宋_GB2312" w:cs="仿宋_GB2312" w:hint="eastAsia"/>
          <w:color w:val="000000"/>
          <w:sz w:val="32"/>
          <w:szCs w:val="32"/>
        </w:rPr>
        <w:t>，</w:t>
      </w:r>
      <w:r>
        <w:rPr>
          <w:rFonts w:ascii="仿宋_GB2312" w:eastAsia="仿宋_GB2312" w:hAnsi="仿宋_GB2312" w:cs="仿宋_GB2312" w:hint="eastAsia"/>
          <w:sz w:val="32"/>
          <w:szCs w:val="32"/>
        </w:rPr>
        <w:t>借力长春国际友好城市体系，推进与东北亚、东南亚以及发达国家、地区探索建立国际友好城市</w:t>
      </w:r>
      <w:r>
        <w:rPr>
          <w:rFonts w:ascii="仿宋_GB2312" w:eastAsia="仿宋_GB2312" w:hAnsi="仿宋_GB2312" w:cs="仿宋_GB2312" w:hint="eastAsia"/>
          <w:sz w:val="32"/>
          <w:szCs w:val="32"/>
        </w:rPr>
        <w:lastRenderedPageBreak/>
        <w:t>关系，建立公主岭全球城市“朋友圈”，建设国际化、全球化的特色城市。</w:t>
      </w:r>
    </w:p>
    <w:p w14:paraId="54829E43" w14:textId="77777777" w:rsidR="00501569" w:rsidRPr="005717BE" w:rsidRDefault="00C74794" w:rsidP="0045498C">
      <w:pPr>
        <w:pStyle w:val="20"/>
        <w:spacing w:beforeLines="50" w:before="156" w:afterLines="50" w:after="156"/>
        <w:rPr>
          <w:rFonts w:ascii="楷体_GB2312" w:hAnsi="楷体_GB2312" w:cs="楷体_GB2312"/>
        </w:rPr>
      </w:pPr>
      <w:bookmarkStart w:id="97" w:name="_Toc40456120"/>
      <w:bookmarkStart w:id="98" w:name="_Toc44843804"/>
      <w:bookmarkStart w:id="99" w:name="_Toc6799"/>
      <w:r w:rsidRPr="005717BE">
        <w:rPr>
          <w:rFonts w:ascii="楷体_GB2312" w:hAnsi="楷体_GB2312" w:cs="楷体_GB2312" w:hint="eastAsia"/>
        </w:rPr>
        <w:t>第二节 升级开发开放合作平台</w:t>
      </w:r>
      <w:bookmarkEnd w:id="97"/>
      <w:bookmarkEnd w:id="98"/>
      <w:bookmarkEnd w:id="99"/>
    </w:p>
    <w:p w14:paraId="31FE426D"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发挥经济发展和开放合作主战场作用，创新发展机制，加快推进转型升级，提高开发区、产业园区产业集中度、竞争力和承载支撑能力。</w:t>
      </w:r>
    </w:p>
    <w:p w14:paraId="024715BC" w14:textId="77777777" w:rsidR="00E511EE" w:rsidRDefault="00C74794">
      <w:pPr>
        <w:pStyle w:val="New0"/>
        <w:ind w:firstLineChars="200" w:firstLine="643"/>
        <w:rPr>
          <w:rFonts w:ascii="仿宋_GB2312" w:eastAsia="仿宋_GB2312" w:hAnsi="仿宋_GB2312" w:cs="仿宋_GB2312"/>
          <w:color w:val="000000"/>
          <w:sz w:val="32"/>
          <w:szCs w:val="32"/>
        </w:rPr>
      </w:pPr>
      <w:r>
        <w:rPr>
          <w:rStyle w:val="3Char"/>
          <w:rFonts w:hAnsi="仿宋_GB2312" w:cs="仿宋_GB2312" w:hint="eastAsia"/>
          <w:bCs/>
        </w:rPr>
        <w:t>创新</w:t>
      </w:r>
      <w:r w:rsidR="00E511EE">
        <w:rPr>
          <w:rStyle w:val="3Char"/>
          <w:rFonts w:hAnsi="仿宋_GB2312" w:cs="仿宋_GB2312" w:hint="eastAsia"/>
          <w:bCs/>
        </w:rPr>
        <w:t>开发区</w:t>
      </w:r>
      <w:r>
        <w:rPr>
          <w:rStyle w:val="3Char"/>
          <w:rFonts w:hAnsi="仿宋_GB2312" w:cs="仿宋_GB2312" w:hint="eastAsia"/>
          <w:bCs/>
        </w:rPr>
        <w:t>体制机制</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推动</w:t>
      </w:r>
      <w:r w:rsidR="00E511EE">
        <w:rPr>
          <w:rFonts w:ascii="仿宋_GB2312" w:eastAsia="仿宋_GB2312" w:hAnsi="仿宋_GB2312" w:cs="仿宋_GB2312" w:hint="eastAsia"/>
          <w:sz w:val="32"/>
          <w:szCs w:val="32"/>
        </w:rPr>
        <w:t>各开发区（园区、工业集中区）</w:t>
      </w:r>
      <w:r>
        <w:rPr>
          <w:rFonts w:ascii="仿宋_GB2312" w:eastAsia="仿宋_GB2312" w:hAnsi="仿宋_GB2312" w:cs="仿宋_GB2312" w:hint="eastAsia"/>
          <w:sz w:val="32"/>
          <w:szCs w:val="32"/>
        </w:rPr>
        <w:t>做大做强和转型升级，</w:t>
      </w:r>
      <w:r>
        <w:rPr>
          <w:rFonts w:ascii="仿宋_GB2312" w:eastAsia="仿宋_GB2312" w:hint="eastAsia"/>
          <w:sz w:val="32"/>
          <w:szCs w:val="32"/>
        </w:rPr>
        <w:t>打造</w:t>
      </w:r>
      <w:r>
        <w:rPr>
          <w:rFonts w:ascii="仿宋_GB2312" w:eastAsia="仿宋_GB2312" w:hAnsi="仿宋_GB2312" w:cs="仿宋_GB2312" w:hint="eastAsia"/>
          <w:color w:val="000000"/>
          <w:sz w:val="32"/>
          <w:szCs w:val="32"/>
        </w:rPr>
        <w:t>对外开放合作的</w:t>
      </w:r>
      <w:r w:rsidR="00E511EE">
        <w:rPr>
          <w:rFonts w:ascii="仿宋_GB2312" w:eastAsia="仿宋_GB2312" w:hAnsi="仿宋_GB2312" w:cs="仿宋_GB2312" w:hint="eastAsia"/>
          <w:color w:val="000000"/>
          <w:sz w:val="32"/>
          <w:szCs w:val="32"/>
        </w:rPr>
        <w:t>载体</w:t>
      </w:r>
      <w:r>
        <w:rPr>
          <w:rFonts w:ascii="仿宋_GB2312" w:eastAsia="仿宋_GB2312" w:hAnsi="仿宋_GB2312" w:cs="仿宋_GB2312" w:hint="eastAsia"/>
          <w:color w:val="000000"/>
          <w:sz w:val="32"/>
          <w:szCs w:val="32"/>
        </w:rPr>
        <w:t>平台。</w:t>
      </w:r>
      <w:r w:rsidR="00E511EE" w:rsidRPr="00E511EE">
        <w:rPr>
          <w:rFonts w:ascii="仿宋_GB2312" w:eastAsia="仿宋_GB2312" w:hAnsi="仿宋_GB2312" w:cs="仿宋_GB2312" w:hint="eastAsia"/>
          <w:color w:val="000000"/>
          <w:sz w:val="32"/>
          <w:szCs w:val="32"/>
        </w:rPr>
        <w:t>积极稳妥推进“政区合一</w:t>
      </w:r>
      <w:r w:rsidR="00E511EE" w:rsidRPr="00E511EE">
        <w:rPr>
          <w:rFonts w:ascii="仿宋_GB2312" w:eastAsia="仿宋_GB2312" w:hAnsi="仿宋_GB2312" w:cs="仿宋_GB2312"/>
          <w:color w:val="000000"/>
          <w:sz w:val="32"/>
          <w:szCs w:val="32"/>
        </w:rPr>
        <w:t>+公司”、“管委会（工委）+公司”等一系列开发区体制改革，加快开发区由“政策洼地”转向“制度高地”。</w:t>
      </w:r>
      <w:r w:rsidR="00E511EE" w:rsidRPr="00E511EE">
        <w:rPr>
          <w:rFonts w:ascii="仿宋_GB2312" w:eastAsia="仿宋_GB2312" w:hAnsi="仿宋_GB2312" w:cs="仿宋_GB2312" w:hint="eastAsia"/>
          <w:color w:val="000000"/>
          <w:sz w:val="32"/>
          <w:szCs w:val="32"/>
        </w:rPr>
        <w:t>开展提高管理效能、人事薪酬制度、整合优化布局等方面的机制改革。</w:t>
      </w:r>
      <w:r w:rsidR="00E511EE">
        <w:rPr>
          <w:rFonts w:ascii="仿宋_GB2312" w:eastAsia="仿宋_GB2312" w:hAnsi="仿宋_GB2312" w:cs="仿宋_GB2312" w:hint="eastAsia"/>
          <w:color w:val="000000"/>
          <w:sz w:val="32"/>
          <w:szCs w:val="32"/>
        </w:rPr>
        <w:t>继续</w:t>
      </w:r>
      <w:r w:rsidR="00E511EE" w:rsidRPr="00E511EE">
        <w:rPr>
          <w:rFonts w:ascii="仿宋_GB2312" w:eastAsia="仿宋_GB2312" w:hAnsi="仿宋_GB2312" w:cs="仿宋_GB2312"/>
          <w:color w:val="000000"/>
          <w:sz w:val="32"/>
          <w:szCs w:val="32"/>
        </w:rPr>
        <w:t>向开发区下放相应的审批权限，实现企业“办事不出区”</w:t>
      </w:r>
      <w:r w:rsidR="00E511EE">
        <w:rPr>
          <w:rFonts w:ascii="仿宋_GB2312" w:eastAsia="仿宋_GB2312" w:hAnsi="仿宋_GB2312" w:cs="仿宋_GB2312" w:hint="eastAsia"/>
          <w:color w:val="000000"/>
          <w:sz w:val="32"/>
          <w:szCs w:val="32"/>
        </w:rPr>
        <w:t>。</w:t>
      </w:r>
      <w:r w:rsidR="00E511EE" w:rsidRPr="00E511EE">
        <w:rPr>
          <w:rFonts w:ascii="仿宋_GB2312" w:eastAsia="仿宋_GB2312" w:hAnsi="仿宋_GB2312" w:cs="仿宋_GB2312"/>
          <w:color w:val="000000"/>
          <w:sz w:val="32"/>
          <w:szCs w:val="32"/>
        </w:rPr>
        <w:t>统筹使用各类编制资源，打破人员身份界限，实行双向选择、全员聘任，确保人和岗位相适宜</w:t>
      </w:r>
      <w:r w:rsidR="00E511EE">
        <w:rPr>
          <w:rFonts w:ascii="仿宋_GB2312" w:eastAsia="仿宋_GB2312" w:hAnsi="仿宋_GB2312" w:cs="仿宋_GB2312" w:hint="eastAsia"/>
          <w:color w:val="000000"/>
          <w:sz w:val="32"/>
          <w:szCs w:val="32"/>
        </w:rPr>
        <w:t>。</w:t>
      </w:r>
      <w:r w:rsidR="00E511EE">
        <w:rPr>
          <w:rFonts w:ascii="仿宋_GB2312" w:eastAsia="仿宋_GB2312" w:hAnsi="仿宋_GB2312" w:cs="仿宋_GB2312"/>
          <w:color w:val="000000"/>
          <w:sz w:val="32"/>
          <w:szCs w:val="32"/>
        </w:rPr>
        <w:t xml:space="preserve"> </w:t>
      </w:r>
    </w:p>
    <w:p w14:paraId="7C19815E"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提升开发区产业集中度。</w:t>
      </w:r>
      <w:r>
        <w:rPr>
          <w:rFonts w:ascii="仿宋_GB2312" w:eastAsia="仿宋_GB2312" w:hAnsi="仿宋_GB2312" w:cs="仿宋_GB2312" w:hint="eastAsia"/>
          <w:sz w:val="32"/>
          <w:szCs w:val="32"/>
        </w:rPr>
        <w:t>制定和实施开发区、园区产业准入“正面清单+负面清单”制度，推动关联产业、上下游配套企业和资源要素集聚，避免同质化分散化。经开区主攻汽车零部件、装备制造等产业和智能制造、智能工厂等新业态新模式，大岭物流园区主攻现代物流、商贸文旅等产业，国家科技园区主攻生物医药、IT、农业高新技术等产业，岭东工业集中区主攻农产品加工、绿色食品等产业，怀德工业集</w:t>
      </w:r>
      <w:r>
        <w:rPr>
          <w:rFonts w:ascii="仿宋_GB2312" w:eastAsia="仿宋_GB2312" w:hAnsi="仿宋_GB2312" w:cs="仿宋_GB2312" w:hint="eastAsia"/>
          <w:sz w:val="32"/>
          <w:szCs w:val="32"/>
        </w:rPr>
        <w:lastRenderedPageBreak/>
        <w:t>中区主攻锻铸造、汽车零部件、汽车物流等产业。加大低效用地退出与再开发力度，收回闲置土地，盘活存量资产，合理规划布局各类产业园区，提高土地利用效率和投资强度。</w:t>
      </w:r>
      <w:bookmarkStart w:id="100" w:name="_Toc40456122"/>
    </w:p>
    <w:p w14:paraId="7984FC91" w14:textId="77777777" w:rsidR="00501569" w:rsidRPr="005717BE" w:rsidRDefault="00C74794" w:rsidP="0045498C">
      <w:pPr>
        <w:pStyle w:val="20"/>
        <w:spacing w:beforeLines="50" w:before="156" w:afterLines="50" w:after="156"/>
        <w:rPr>
          <w:rFonts w:ascii="楷体_GB2312" w:hAnsi="楷体_GB2312" w:cs="楷体_GB2312"/>
        </w:rPr>
      </w:pPr>
      <w:bookmarkStart w:id="101" w:name="_Toc44843805"/>
      <w:bookmarkStart w:id="102" w:name="_Toc2783"/>
      <w:bookmarkStart w:id="103" w:name="_Toc40456124"/>
      <w:bookmarkEnd w:id="100"/>
      <w:r w:rsidRPr="005717BE">
        <w:rPr>
          <w:rFonts w:ascii="楷体_GB2312" w:hAnsi="楷体_GB2312" w:cs="楷体_GB2312" w:hint="eastAsia"/>
        </w:rPr>
        <w:t>第三节 实施多渠道多方式精准招商</w:t>
      </w:r>
      <w:bookmarkEnd w:id="101"/>
      <w:bookmarkEnd w:id="102"/>
    </w:p>
    <w:bookmarkEnd w:id="103"/>
    <w:p w14:paraId="7DDA3C89" w14:textId="77777777" w:rsidR="00501569" w:rsidRDefault="00C74794">
      <w:pPr>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加强与一汽集团等大企业合作招商，探索“一汽出品牌、公主岭出资源”的联合品牌招商模式。</w:t>
      </w:r>
      <w:r>
        <w:rPr>
          <w:rFonts w:ascii="仿宋_GB2312" w:eastAsia="仿宋_GB2312" w:hAnsi="仿宋_GB2312" w:cs="仿宋_GB2312" w:hint="eastAsia"/>
          <w:sz w:val="32"/>
          <w:szCs w:val="32"/>
        </w:rPr>
        <w:t>围绕“六大产业”，开展专业化招商、产业链集群招商、园区招商，引进世界500强、中央企业、民营大企业、行业领军企业等战略投资者和引领性、创新性、成长性强的重大产业项目。推动域内企业围绕扩大规模、补齐链条，引进产品关联度高、全产业链的相关企业和项目。</w:t>
      </w:r>
      <w:r>
        <w:rPr>
          <w:rFonts w:ascii="仿宋_GB2312" w:eastAsia="仿宋_GB2312" w:hAnsi="仿宋_GB2312" w:cs="仿宋_GB2312"/>
          <w:sz w:val="32"/>
          <w:szCs w:val="32"/>
          <w:shd w:val="clear" w:color="auto" w:fill="FFFFFF"/>
        </w:rPr>
        <w:t>加强与智库机构合作，探索新型智库招商、基金及资本集团招商、新型研发机构招商、核心企业招商等多种模式。</w:t>
      </w:r>
      <w:r>
        <w:rPr>
          <w:rFonts w:ascii="仿宋_GB2312" w:eastAsia="仿宋_GB2312" w:hAnsi="仿宋_GB2312" w:cs="仿宋_GB2312" w:hint="eastAsia"/>
          <w:sz w:val="32"/>
          <w:szCs w:val="32"/>
          <w:shd w:val="clear" w:color="auto" w:fill="FFFFFF"/>
        </w:rPr>
        <w:t>应用</w:t>
      </w:r>
      <w:r>
        <w:rPr>
          <w:rFonts w:ascii="仿宋_GB2312" w:eastAsia="仿宋_GB2312" w:hAnsi="仿宋_GB2312" w:cs="仿宋_GB2312"/>
          <w:sz w:val="32"/>
          <w:szCs w:val="32"/>
          <w:shd w:val="clear" w:color="auto" w:fill="FFFFFF"/>
        </w:rPr>
        <w:t>国内外云招商平台先进技术</w:t>
      </w:r>
      <w:r>
        <w:rPr>
          <w:rFonts w:ascii="仿宋_GB2312" w:eastAsia="仿宋_GB2312" w:hAnsi="仿宋_GB2312" w:cs="仿宋_GB2312" w:hint="eastAsia"/>
          <w:sz w:val="32"/>
          <w:szCs w:val="32"/>
          <w:shd w:val="clear" w:color="auto" w:fill="FFFFFF"/>
        </w:rPr>
        <w:t>，探索建立衢州—</w:t>
      </w:r>
      <w:r>
        <w:rPr>
          <w:rFonts w:ascii="仿宋_GB2312" w:eastAsia="仿宋_GB2312" w:hAnsi="仿宋_GB2312" w:cs="仿宋_GB2312"/>
          <w:sz w:val="32"/>
          <w:szCs w:val="32"/>
          <w:shd w:val="clear" w:color="auto" w:fill="FFFFFF"/>
        </w:rPr>
        <w:t>公主岭</w:t>
      </w:r>
      <w:r>
        <w:rPr>
          <w:rFonts w:ascii="仿宋_GB2312" w:eastAsia="仿宋_GB2312" w:hAnsi="仿宋_GB2312" w:cs="仿宋_GB2312" w:hint="eastAsia"/>
          <w:sz w:val="32"/>
          <w:szCs w:val="32"/>
          <w:shd w:val="clear" w:color="auto" w:fill="FFFFFF"/>
        </w:rPr>
        <w:t>、萧山—</w:t>
      </w:r>
      <w:r>
        <w:rPr>
          <w:rFonts w:ascii="仿宋_GB2312" w:eastAsia="仿宋_GB2312" w:hAnsi="仿宋_GB2312" w:cs="仿宋_GB2312"/>
          <w:sz w:val="32"/>
          <w:szCs w:val="32"/>
          <w:shd w:val="clear" w:color="auto" w:fill="FFFFFF"/>
        </w:rPr>
        <w:t>公主岭</w:t>
      </w:r>
      <w:r>
        <w:rPr>
          <w:rFonts w:ascii="仿宋_GB2312" w:eastAsia="仿宋_GB2312" w:hAnsi="仿宋_GB2312" w:cs="仿宋_GB2312" w:hint="eastAsia"/>
          <w:sz w:val="32"/>
          <w:szCs w:val="32"/>
          <w:shd w:val="clear" w:color="auto" w:fill="FFFFFF"/>
        </w:rPr>
        <w:t>、蓟州—</w:t>
      </w:r>
      <w:r>
        <w:rPr>
          <w:rFonts w:ascii="仿宋_GB2312" w:eastAsia="仿宋_GB2312" w:hAnsi="仿宋_GB2312" w:cs="仿宋_GB2312"/>
          <w:sz w:val="32"/>
          <w:szCs w:val="32"/>
          <w:shd w:val="clear" w:color="auto" w:fill="FFFFFF"/>
        </w:rPr>
        <w:t>公主岭</w:t>
      </w:r>
      <w:r>
        <w:rPr>
          <w:rFonts w:ascii="仿宋_GB2312" w:eastAsia="仿宋_GB2312" w:hAnsi="仿宋_GB2312" w:cs="仿宋_GB2312" w:hint="eastAsia"/>
          <w:sz w:val="32"/>
          <w:szCs w:val="32"/>
          <w:shd w:val="clear" w:color="auto" w:fill="FFFFFF"/>
        </w:rPr>
        <w:t>三大对口合作</w:t>
      </w:r>
      <w:r>
        <w:rPr>
          <w:rFonts w:ascii="仿宋_GB2312" w:eastAsia="仿宋_GB2312" w:hAnsi="仿宋_GB2312" w:cs="仿宋_GB2312"/>
          <w:sz w:val="32"/>
          <w:szCs w:val="32"/>
          <w:shd w:val="clear" w:color="auto" w:fill="FFFFFF"/>
        </w:rPr>
        <w:t>联合招商平台</w:t>
      </w:r>
      <w:r>
        <w:rPr>
          <w:rFonts w:ascii="仿宋_GB2312" w:eastAsia="仿宋_GB2312" w:hAnsi="仿宋_GB2312" w:cs="仿宋_GB2312" w:hint="eastAsia"/>
          <w:sz w:val="32"/>
          <w:szCs w:val="32"/>
          <w:shd w:val="clear" w:color="auto" w:fill="FFFFFF"/>
        </w:rPr>
        <w:t>，加强对口合作招商成效，提升招商效率。</w:t>
      </w:r>
      <w:r>
        <w:rPr>
          <w:rFonts w:ascii="仿宋_GB2312" w:eastAsia="仿宋_GB2312" w:hAnsi="仿宋_GB2312" w:cs="仿宋_GB2312"/>
          <w:sz w:val="32"/>
          <w:szCs w:val="32"/>
          <w:shd w:val="clear" w:color="auto" w:fill="FFFFFF"/>
        </w:rPr>
        <w:t>举办公主岭品牌展会</w:t>
      </w:r>
      <w:r>
        <w:rPr>
          <w:rFonts w:ascii="仿宋_GB2312" w:eastAsia="仿宋_GB2312" w:hAnsi="仿宋_GB2312" w:cs="仿宋_GB2312" w:hint="eastAsia"/>
          <w:sz w:val="32"/>
          <w:szCs w:val="32"/>
          <w:shd w:val="clear" w:color="auto" w:fill="FFFFFF"/>
        </w:rPr>
        <w:t>和</w:t>
      </w:r>
      <w:r>
        <w:rPr>
          <w:rFonts w:ascii="仿宋_GB2312" w:eastAsia="仿宋_GB2312" w:hAnsi="仿宋_GB2312" w:cs="仿宋_GB2312" w:hint="eastAsia"/>
          <w:sz w:val="32"/>
          <w:szCs w:val="32"/>
        </w:rPr>
        <w:t>各类招商引资活动</w:t>
      </w:r>
      <w:r>
        <w:rPr>
          <w:rFonts w:ascii="仿宋_GB2312" w:eastAsia="仿宋_GB2312" w:hAnsi="仿宋_GB2312" w:cs="仿宋_GB2312"/>
          <w:sz w:val="32"/>
          <w:szCs w:val="32"/>
          <w:shd w:val="clear" w:color="auto" w:fill="FFFFFF"/>
        </w:rPr>
        <w:t>，提升全市品牌产品影响力。</w:t>
      </w:r>
      <w:r>
        <w:rPr>
          <w:rFonts w:ascii="仿宋_GB2312" w:eastAsia="仿宋_GB2312" w:hAnsi="仿宋_GB2312" w:cs="仿宋_GB2312" w:hint="eastAsia"/>
          <w:sz w:val="32"/>
          <w:szCs w:val="32"/>
        </w:rPr>
        <w:t>注重前期对接、考查论证、落地、建设、投产、达效等全流程、全方位招商服务，建立重大引资项目谋划联动、领导包保、跟踪调度和高效服务机制，实现高水平请进来、高效率建起来。力争到2025年，外资企业达到20家，</w:t>
      </w:r>
      <w:r w:rsidR="0024493E">
        <w:rPr>
          <w:rFonts w:ascii="仿宋_GB2312" w:eastAsia="仿宋_GB2312" w:hAnsi="仿宋_GB2312" w:cs="仿宋_GB2312" w:hint="eastAsia"/>
          <w:sz w:val="32"/>
          <w:szCs w:val="32"/>
        </w:rPr>
        <w:t>直接</w:t>
      </w:r>
      <w:r>
        <w:rPr>
          <w:rFonts w:ascii="仿宋_GB2312" w:eastAsia="仿宋_GB2312" w:hAnsi="仿宋_GB2312" w:cs="仿宋_GB2312" w:hint="eastAsia"/>
          <w:sz w:val="32"/>
          <w:szCs w:val="32"/>
        </w:rPr>
        <w:t>利用外资达到2000万美元以上。</w:t>
      </w:r>
    </w:p>
    <w:p w14:paraId="38514955" w14:textId="77777777" w:rsidR="00501569" w:rsidRPr="005717BE" w:rsidRDefault="00C74794" w:rsidP="0045498C">
      <w:pPr>
        <w:pStyle w:val="20"/>
        <w:spacing w:beforeLines="50" w:before="156" w:afterLines="50" w:after="156"/>
        <w:rPr>
          <w:rFonts w:ascii="楷体_GB2312" w:hAnsi="楷体_GB2312" w:cs="楷体_GB2312"/>
        </w:rPr>
      </w:pPr>
      <w:bookmarkStart w:id="104" w:name="_Toc40456125"/>
      <w:bookmarkStart w:id="105" w:name="_Toc25859"/>
      <w:bookmarkStart w:id="106" w:name="_Toc44843806"/>
      <w:r w:rsidRPr="005717BE">
        <w:rPr>
          <w:rFonts w:ascii="楷体_GB2312" w:hAnsi="楷体_GB2312" w:cs="楷体_GB2312" w:hint="eastAsia"/>
        </w:rPr>
        <w:lastRenderedPageBreak/>
        <w:t>第四节 培育发展开放型示范企业</w:t>
      </w:r>
      <w:bookmarkEnd w:id="104"/>
      <w:bookmarkEnd w:id="105"/>
      <w:bookmarkEnd w:id="106"/>
    </w:p>
    <w:p w14:paraId="21771B92" w14:textId="77777777" w:rsidR="00501569" w:rsidRDefault="00C74794">
      <w:pPr>
        <w:ind w:firstLineChars="200" w:firstLine="640"/>
        <w:jc w:val="left"/>
        <w:rPr>
          <w:rFonts w:ascii="黑体" w:eastAsia="黑体" w:hAnsi="黑体" w:cs="黑体"/>
          <w:sz w:val="32"/>
          <w:szCs w:val="32"/>
        </w:rPr>
      </w:pPr>
      <w:bookmarkStart w:id="107" w:name="_Toc40456127"/>
      <w:bookmarkStart w:id="108" w:name="_Toc40456126"/>
      <w:r>
        <w:rPr>
          <w:rFonts w:ascii="仿宋_GB2312" w:eastAsia="仿宋_GB2312" w:hAnsi="仿宋_GB2312" w:cs="仿宋_GB2312" w:hint="eastAsia"/>
          <w:sz w:val="32"/>
          <w:szCs w:val="32"/>
        </w:rPr>
        <w:t>建设长春兴隆综保区公主岭联动园区，做强跨境电子商务企业</w:t>
      </w:r>
      <w:bookmarkEnd w:id="107"/>
      <w:r>
        <w:rPr>
          <w:rFonts w:ascii="仿宋_GB2312" w:eastAsia="仿宋_GB2312" w:hAnsi="仿宋_GB2312" w:cs="仿宋_GB2312" w:hint="eastAsia"/>
          <w:sz w:val="32"/>
          <w:szCs w:val="32"/>
        </w:rPr>
        <w:t>，推进外贸企业发展网上出口贸易,支持各开</w:t>
      </w:r>
      <w:r>
        <w:rPr>
          <w:rFonts w:ascii="仿宋_GB2312" w:eastAsia="仿宋_GB2312" w:hAnsi="仿宋_GB2312" w:cs="仿宋_GB2312" w:hint="eastAsia"/>
          <w:color w:val="000000"/>
          <w:sz w:val="32"/>
          <w:szCs w:val="32"/>
        </w:rPr>
        <w:t>发区举办跨境电子商务大赛、跨境电子商务博览会。帮助企业开拓国际市场，提高企业出口创汇能力。组织企业参加国内外展会，鼓励我市汽车零部件加工企业、农产品企业对</w:t>
      </w:r>
      <w:r>
        <w:rPr>
          <w:rFonts w:ascii="仿宋_GB2312" w:eastAsia="仿宋_GB2312" w:hAnsi="仿宋_GB2312" w:cs="仿宋_GB2312" w:hint="eastAsia"/>
          <w:sz w:val="32"/>
          <w:szCs w:val="32"/>
        </w:rPr>
        <w:t>蒙俄朝开展贸易。加强对外技术和劳务合作，支持有实力的企业“走出去”开拓国际市场，培育对外经济技术合作企业</w:t>
      </w:r>
      <w:bookmarkEnd w:id="108"/>
      <w:r>
        <w:rPr>
          <w:rFonts w:ascii="仿宋_GB2312" w:eastAsia="仿宋_GB2312" w:hAnsi="仿宋_GB2312" w:cs="仿宋_GB2312" w:hint="eastAsia"/>
          <w:sz w:val="32"/>
          <w:szCs w:val="32"/>
        </w:rPr>
        <w:t>，开展对外承包工程和服务外包，提升外向型经济发展水平。设立企业开放发展服务专员制度，对有意愿扩大进出口规模的企业，选派或聘请专业人士帮助其解决法律、信用、贸易规则等相关问题。到2025年，力争全市进出口企业达到60户以上。</w:t>
      </w:r>
    </w:p>
    <w:p w14:paraId="716973C6" w14:textId="77777777" w:rsidR="00501569" w:rsidRDefault="00C74794" w:rsidP="0045498C">
      <w:pPr>
        <w:spacing w:beforeLines="50" w:before="156" w:afterLines="50" w:after="156"/>
        <w:jc w:val="center"/>
        <w:outlineLvl w:val="0"/>
        <w:rPr>
          <w:rFonts w:ascii="黑体" w:eastAsia="黑体" w:hAnsi="黑体" w:cs="黑体"/>
          <w:sz w:val="32"/>
          <w:szCs w:val="32"/>
        </w:rPr>
      </w:pPr>
      <w:bookmarkStart w:id="109" w:name="_Toc26256"/>
      <w:r>
        <w:rPr>
          <w:rFonts w:ascii="黑体" w:eastAsia="黑体" w:hAnsi="黑体" w:cs="黑体" w:hint="eastAsia"/>
          <w:sz w:val="32"/>
          <w:szCs w:val="32"/>
        </w:rPr>
        <w:t>第十一章 推进绿色发展，建设美丽新岭城</w:t>
      </w:r>
      <w:bookmarkEnd w:id="109"/>
    </w:p>
    <w:p w14:paraId="758B548F" w14:textId="77777777" w:rsidR="00501569" w:rsidRDefault="00C7479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牢固树立</w:t>
      </w:r>
      <w:r>
        <w:rPr>
          <w:rFonts w:ascii="仿宋_GB2312" w:eastAsia="仿宋_GB2312" w:hAnsi="仿宋_GB2312" w:cs="仿宋_GB2312" w:hint="eastAsia"/>
          <w:kern w:val="0"/>
          <w:sz w:val="32"/>
          <w:szCs w:val="32"/>
        </w:rPr>
        <w:t>“绿水青山就是金山银山，冰天雪地也是金山银山”和“山水林田湖草生命共同体”理念，</w:t>
      </w:r>
      <w:r>
        <w:rPr>
          <w:rFonts w:ascii="仿宋_GB2312" w:eastAsia="仿宋_GB2312" w:hAnsi="仿宋_GB2312" w:cs="仿宋_GB2312" w:hint="eastAsia"/>
          <w:bCs/>
          <w:sz w:val="32"/>
          <w:szCs w:val="32"/>
        </w:rPr>
        <w:t>优化生态保护格局，</w:t>
      </w:r>
      <w:r>
        <w:rPr>
          <w:rFonts w:ascii="仿宋_GB2312" w:eastAsia="仿宋_GB2312" w:hAnsi="仿宋_GB2312" w:cs="仿宋_GB2312" w:hint="eastAsia"/>
          <w:kern w:val="0"/>
          <w:sz w:val="32"/>
          <w:szCs w:val="32"/>
        </w:rPr>
        <w:t>全面推进环境治理精细化、生态保护系统化、资源利用高效化，</w:t>
      </w:r>
      <w:r>
        <w:rPr>
          <w:rFonts w:ascii="仿宋_GB2312" w:eastAsia="仿宋_GB2312" w:hAnsi="仿宋_GB2312" w:cs="仿宋_GB2312" w:hint="eastAsia"/>
          <w:bCs/>
          <w:sz w:val="32"/>
          <w:szCs w:val="32"/>
        </w:rPr>
        <w:t>打造美丽公主岭。</w:t>
      </w:r>
    </w:p>
    <w:p w14:paraId="7D37E5DC" w14:textId="77777777" w:rsidR="00501569" w:rsidRPr="005717BE" w:rsidRDefault="00C74794" w:rsidP="0045498C">
      <w:pPr>
        <w:pStyle w:val="20"/>
        <w:spacing w:beforeLines="50" w:before="156" w:afterLines="50" w:after="156"/>
        <w:rPr>
          <w:rFonts w:ascii="楷体_GB2312" w:hAnsi="楷体_GB2312" w:cs="楷体_GB2312"/>
        </w:rPr>
      </w:pPr>
      <w:bookmarkStart w:id="110" w:name="_Toc15982"/>
      <w:r w:rsidRPr="005717BE">
        <w:rPr>
          <w:rFonts w:ascii="楷体_GB2312" w:hAnsi="楷体_GB2312" w:cs="楷体_GB2312" w:hint="eastAsia"/>
        </w:rPr>
        <w:t>第一节 加强重点区域生态保护</w:t>
      </w:r>
      <w:bookmarkEnd w:id="110"/>
    </w:p>
    <w:p w14:paraId="647A291F" w14:textId="77777777" w:rsidR="00501569" w:rsidRDefault="00C74794" w:rsidP="0045498C">
      <w:pPr>
        <w:spacing w:afterLines="50" w:after="156"/>
        <w:ind w:firstLineChars="200" w:firstLine="640"/>
        <w:rPr>
          <w:rFonts w:ascii="仿宋_GB2312" w:eastAsia="仿宋_GB2312"/>
          <w:sz w:val="32"/>
          <w:szCs w:val="32"/>
        </w:rPr>
      </w:pPr>
      <w:r>
        <w:rPr>
          <w:rFonts w:ascii="仿宋_GB2312" w:eastAsia="仿宋_GB2312" w:hAnsi="仿宋_GB2312" w:hint="eastAsia"/>
          <w:bCs/>
          <w:color w:val="000000"/>
          <w:sz w:val="32"/>
          <w:szCs w:val="32"/>
        </w:rPr>
        <w:t>坚持山水林田湖草综合治理，着力</w:t>
      </w:r>
      <w:r>
        <w:rPr>
          <w:rFonts w:ascii="仿宋_GB2312" w:eastAsia="仿宋_GB2312" w:hint="eastAsia"/>
          <w:sz w:val="32"/>
          <w:szCs w:val="32"/>
        </w:rPr>
        <w:t>构建以“两廊多斑块”为主体的生态保护格局，</w:t>
      </w:r>
      <w:r>
        <w:rPr>
          <w:rFonts w:ascii="仿宋_GB2312" w:eastAsia="仿宋_GB2312" w:hAnsi="仿宋_GB2312" w:hint="eastAsia"/>
          <w:bCs/>
          <w:color w:val="000000"/>
          <w:sz w:val="32"/>
          <w:szCs w:val="32"/>
        </w:rPr>
        <w:t>实施生态保护修复战略和重大工程，</w:t>
      </w:r>
      <w:r>
        <w:rPr>
          <w:rFonts w:ascii="仿宋_GB2312" w:eastAsia="仿宋_GB2312" w:hAnsi="仿宋_GB2312" w:hint="eastAsia"/>
          <w:bCs/>
          <w:color w:val="000000"/>
          <w:sz w:val="32"/>
          <w:szCs w:val="32"/>
        </w:rPr>
        <w:lastRenderedPageBreak/>
        <w:t>建设南中北三大生态功能区，提升生态系统质量和稳定性，增强</w:t>
      </w:r>
      <w:r>
        <w:rPr>
          <w:rFonts w:ascii="仿宋_GB2312" w:eastAsia="仿宋_GB2312" w:hint="eastAsia"/>
          <w:sz w:val="32"/>
          <w:szCs w:val="32"/>
        </w:rPr>
        <w:t>生态系统功能。</w:t>
      </w:r>
    </w:p>
    <w:tbl>
      <w:tblPr>
        <w:tblStyle w:val="af0"/>
        <w:tblW w:w="8522" w:type="dxa"/>
        <w:tblLayout w:type="fixed"/>
        <w:tblLook w:val="04A0" w:firstRow="1" w:lastRow="0" w:firstColumn="1" w:lastColumn="0" w:noHBand="0" w:noVBand="1"/>
      </w:tblPr>
      <w:tblGrid>
        <w:gridCol w:w="8522"/>
      </w:tblGrid>
      <w:tr w:rsidR="00501569" w14:paraId="05E81208" w14:textId="77777777">
        <w:tc>
          <w:tcPr>
            <w:tcW w:w="8522" w:type="dxa"/>
          </w:tcPr>
          <w:p w14:paraId="3D88825F" w14:textId="77777777" w:rsidR="00501569" w:rsidRDefault="00C74794">
            <w:pPr>
              <w:widowControl/>
              <w:adjustRightInd w:val="0"/>
              <w:jc w:val="center"/>
              <w:rPr>
                <w:rFonts w:ascii="楷体_GB2312" w:eastAsia="楷体_GB2312" w:hAnsi="楷体_GB2312" w:cs="楷体_GB2312"/>
                <w:b/>
                <w:kern w:val="0"/>
                <w:sz w:val="28"/>
                <w:szCs w:val="28"/>
              </w:rPr>
            </w:pPr>
            <w:r>
              <w:rPr>
                <w:rFonts w:ascii="楷体_GB2312" w:eastAsia="楷体_GB2312" w:hAnsi="楷体_GB2312" w:cs="楷体_GB2312" w:hint="eastAsia"/>
                <w:b/>
                <w:kern w:val="0"/>
                <w:sz w:val="28"/>
                <w:szCs w:val="28"/>
              </w:rPr>
              <w:t>专栏1</w:t>
            </w:r>
            <w:r>
              <w:rPr>
                <w:rFonts w:ascii="楷体_GB2312" w:eastAsia="楷体_GB2312" w:hAnsi="楷体_GB2312" w:cs="楷体_GB2312"/>
                <w:b/>
                <w:kern w:val="0"/>
                <w:sz w:val="28"/>
                <w:szCs w:val="28"/>
              </w:rPr>
              <w:t>4</w:t>
            </w:r>
            <w:r>
              <w:rPr>
                <w:rFonts w:ascii="楷体_GB2312" w:eastAsia="楷体_GB2312" w:hAnsi="楷体_GB2312" w:cs="楷体_GB2312" w:hint="eastAsia"/>
                <w:b/>
                <w:kern w:val="0"/>
                <w:sz w:val="28"/>
                <w:szCs w:val="28"/>
              </w:rPr>
              <w:t>：“两廊多斑块”生态保护格局</w:t>
            </w:r>
          </w:p>
          <w:p w14:paraId="38FE56DF"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bCs/>
              </w:rPr>
              <w:t>两廊：</w:t>
            </w:r>
            <w:r>
              <w:rPr>
                <w:rFonts w:ascii="宋体" w:eastAsia="宋体" w:hAnsi="宋体" w:hint="eastAsia"/>
              </w:rPr>
              <w:t>建设东辽河生态廊道，综合治理工业、生活污水、畜禽养殖、农业面源等四大污染，全面消除劣Ⅴ类水质，推进退耕还林还湿还草，防止植被退化，提升水土保持生态和水源涵养功能，增强绿化美化和景观设施建设，打造辽河生态运动带。建设新凯河生态廊道，促进生态保护和修复，加强生产生活污水和垃圾无害化处理，减轻生产生活对生态环境压力，扩大绿色开敞空间，打造新凯河城市景观带，构筑长春公主岭同城化协同发展的绿色廊道。</w:t>
            </w:r>
          </w:p>
          <w:p w14:paraId="1057731E" w14:textId="77777777" w:rsidR="00501569" w:rsidRPr="007C4A68" w:rsidRDefault="00C74794" w:rsidP="007C4A68">
            <w:pPr>
              <w:adjustRightInd w:val="0"/>
              <w:snapToGrid w:val="0"/>
              <w:spacing w:line="360" w:lineRule="auto"/>
              <w:ind w:firstLineChars="200" w:firstLine="422"/>
              <w:rPr>
                <w:rFonts w:ascii="宋体" w:eastAsia="宋体" w:hAnsi="宋体"/>
              </w:rPr>
            </w:pPr>
            <w:r>
              <w:rPr>
                <w:rFonts w:ascii="宋体" w:eastAsia="宋体" w:hAnsi="宋体" w:hint="eastAsia"/>
                <w:b/>
                <w:bCs/>
              </w:rPr>
              <w:t>多斑块：</w:t>
            </w:r>
            <w:r>
              <w:rPr>
                <w:rFonts w:ascii="宋体" w:eastAsia="宋体" w:hAnsi="宋体" w:hint="eastAsia"/>
              </w:rPr>
              <w:t>加强二龙山水库、卡伦水库、二十家子水库、平洋水库、杨大城子水库等水库保护和建设，推进退耕还林还湿还草，提升水源涵养能力和生态功能，保障水安全，严控水污染。加强二十家子风景区自然生态区域建设，在严格保护生态前提下，适度发展生态旅游。</w:t>
            </w:r>
          </w:p>
        </w:tc>
      </w:tr>
    </w:tbl>
    <w:p w14:paraId="33085F00" w14:textId="77777777" w:rsidR="00501569" w:rsidRDefault="00C74794" w:rsidP="0045498C">
      <w:pPr>
        <w:spacing w:beforeLines="50" w:before="156"/>
        <w:ind w:firstLineChars="200" w:firstLine="643"/>
        <w:rPr>
          <w:rFonts w:ascii="仿宋_GB2312" w:eastAsia="仿宋_GB2312"/>
          <w:sz w:val="32"/>
          <w:szCs w:val="32"/>
        </w:rPr>
      </w:pPr>
      <w:r>
        <w:rPr>
          <w:rFonts w:ascii="仿宋_GB2312" w:eastAsia="仿宋_GB2312" w:hint="eastAsia"/>
          <w:b/>
          <w:bCs/>
          <w:sz w:val="32"/>
          <w:szCs w:val="32"/>
        </w:rPr>
        <w:t>建设南部水源涵养生态保育区。</w:t>
      </w:r>
      <w:r>
        <w:rPr>
          <w:rFonts w:ascii="仿宋_GB2312" w:eastAsia="仿宋_GB2312" w:hint="eastAsia"/>
          <w:sz w:val="32"/>
          <w:szCs w:val="32"/>
        </w:rPr>
        <w:t>巩固东辽河生态治理成果，实施东辽河生态湿地保护建设，坚持污染防治与生态修复并举，提升湿地生态系统功能，有效削减污染负荷，用生态方法治理水污染、修复水环境。实施新凯河生态保护修复，打造城市生态绿色空间。围绕东辽河、新凯河3</w:t>
      </w:r>
      <w:r>
        <w:rPr>
          <w:rFonts w:ascii="仿宋_GB2312" w:eastAsia="仿宋_GB2312"/>
          <w:sz w:val="32"/>
          <w:szCs w:val="32"/>
        </w:rPr>
        <w:t>4</w:t>
      </w:r>
      <w:r>
        <w:rPr>
          <w:rFonts w:ascii="仿宋_GB2312" w:eastAsia="仿宋_GB2312" w:hint="eastAsia"/>
          <w:sz w:val="32"/>
          <w:szCs w:val="32"/>
        </w:rPr>
        <w:t>条支流，以河湖长制为抓手，以“清四乱”为重点，加快水系综合整治，加强流域源头、河口及重要水生生物栖息地保护，修复受损河湖生态空间。以流域为单元，采用水资源统一配置与调度管理、自然修复、河道治理、清淤疏浚、生态放水等综合措施，强化河湖生态保护修复与治理。</w:t>
      </w:r>
    </w:p>
    <w:p w14:paraId="63314F46" w14:textId="77777777" w:rsidR="00501569" w:rsidRDefault="00C74794">
      <w:pPr>
        <w:ind w:firstLineChars="200" w:firstLine="643"/>
        <w:rPr>
          <w:rFonts w:ascii="仿宋_GB2312" w:eastAsia="仿宋_GB2312"/>
          <w:sz w:val="32"/>
          <w:szCs w:val="32"/>
        </w:rPr>
      </w:pPr>
      <w:r>
        <w:rPr>
          <w:rFonts w:ascii="仿宋_GB2312" w:eastAsia="仿宋_GB2312" w:hint="eastAsia"/>
          <w:b/>
          <w:bCs/>
          <w:sz w:val="32"/>
          <w:szCs w:val="32"/>
        </w:rPr>
        <w:t>建设中部黑土生态安全保育区。</w:t>
      </w:r>
      <w:r>
        <w:rPr>
          <w:rFonts w:ascii="仿宋_GB2312" w:eastAsia="仿宋_GB2312" w:hint="eastAsia"/>
          <w:sz w:val="32"/>
          <w:szCs w:val="32"/>
        </w:rPr>
        <w:t>加快治理水土流失，加强缓坡耕地治理、侵蚀沟治理，推广等高修筑地埂、种植生物篱带、粮油作物隔带种植等水土流失综合治理模式，保护</w:t>
      </w:r>
      <w:r>
        <w:rPr>
          <w:rFonts w:ascii="仿宋_GB2312" w:eastAsia="仿宋_GB2312" w:hint="eastAsia"/>
          <w:sz w:val="32"/>
          <w:szCs w:val="32"/>
        </w:rPr>
        <w:lastRenderedPageBreak/>
        <w:t>好“耕地中的大熊猫”。优化农田林网结构，保护生物多样性，防治黑土沙化风蚀。控制水田规模，合理开发利用地表水，减少地下水开采，恢复提升地下水水位。提升黑土区农田系统的可持续性，调整利用方式，形成复合稳定的农田生态系统，严守永久基本农田保护红线。</w:t>
      </w:r>
    </w:p>
    <w:p w14:paraId="75BB2D2F" w14:textId="77777777" w:rsidR="00501569" w:rsidRDefault="00C74794">
      <w:pPr>
        <w:widowControl/>
        <w:adjustRightInd w:val="0"/>
        <w:ind w:firstLineChars="200" w:firstLine="643"/>
        <w:rPr>
          <w:rFonts w:ascii="仿宋_GB2312" w:eastAsia="仿宋_GB2312"/>
          <w:sz w:val="32"/>
          <w:szCs w:val="32"/>
          <w:highlight w:val="yellow"/>
        </w:rPr>
      </w:pPr>
      <w:r>
        <w:rPr>
          <w:rFonts w:ascii="仿宋_GB2312" w:eastAsia="仿宋_GB2312" w:hint="eastAsia"/>
          <w:b/>
          <w:bCs/>
          <w:sz w:val="32"/>
          <w:szCs w:val="32"/>
        </w:rPr>
        <w:t>建设北部防风固沙生态保育区。</w:t>
      </w:r>
      <w:r>
        <w:rPr>
          <w:rFonts w:ascii="仿宋_GB2312" w:eastAsia="仿宋_GB2312" w:hint="eastAsia"/>
          <w:sz w:val="32"/>
          <w:szCs w:val="32"/>
        </w:rPr>
        <w:t>加强</w:t>
      </w:r>
      <w:r>
        <w:rPr>
          <w:rFonts w:ascii="仿宋_GB2312" w:eastAsia="仿宋_GB2312"/>
          <w:sz w:val="32"/>
          <w:szCs w:val="32"/>
        </w:rPr>
        <w:t>沙化土地</w:t>
      </w:r>
      <w:r>
        <w:rPr>
          <w:rFonts w:ascii="仿宋_GB2312" w:eastAsia="仿宋_GB2312" w:hint="eastAsia"/>
          <w:sz w:val="32"/>
          <w:szCs w:val="32"/>
        </w:rPr>
        <w:t>综合</w:t>
      </w:r>
      <w:r>
        <w:rPr>
          <w:rFonts w:ascii="仿宋_GB2312" w:eastAsia="仿宋_GB2312"/>
          <w:sz w:val="32"/>
          <w:szCs w:val="32"/>
        </w:rPr>
        <w:t>治理</w:t>
      </w:r>
      <w:r>
        <w:rPr>
          <w:rFonts w:ascii="仿宋_GB2312" w:eastAsia="仿宋_GB2312" w:hint="eastAsia"/>
          <w:sz w:val="32"/>
          <w:szCs w:val="32"/>
        </w:rPr>
        <w:t>，实施“三北”防护林建设工程，持续退耕还林还湿、清收林地造林、省级防沙治沙等建设工程，加强西北部沙化土地综合治理，推广少免耕栽培技术，减少风蚀沙化，推进农田生态与林草生态系统相协调。实施森林生态效益补偿，逐步解决生态保护红线区内违法违规项目建设和历史遗留问题。</w:t>
      </w:r>
    </w:p>
    <w:p w14:paraId="28C14E79" w14:textId="77777777" w:rsidR="00501569" w:rsidRPr="005717BE" w:rsidRDefault="00C74794" w:rsidP="0045498C">
      <w:pPr>
        <w:pStyle w:val="20"/>
        <w:spacing w:beforeLines="50" w:before="156" w:afterLines="50" w:after="156"/>
        <w:rPr>
          <w:rFonts w:ascii="楷体_GB2312" w:hAnsi="楷体_GB2312" w:cs="楷体_GB2312"/>
        </w:rPr>
      </w:pPr>
      <w:bookmarkStart w:id="111" w:name="_Toc15344"/>
      <w:r w:rsidRPr="005717BE">
        <w:rPr>
          <w:rFonts w:ascii="楷体_GB2312" w:hAnsi="楷体_GB2312" w:cs="楷体_GB2312" w:hint="eastAsia"/>
        </w:rPr>
        <w:t>第二节 打好环境改善攻坚战</w:t>
      </w:r>
      <w:bookmarkEnd w:id="111"/>
    </w:p>
    <w:p w14:paraId="1AEC4F1A" w14:textId="77777777" w:rsidR="00501569" w:rsidRDefault="00C74794">
      <w:pPr>
        <w:ind w:firstLineChars="200" w:firstLine="640"/>
        <w:rPr>
          <w:rFonts w:ascii="仿宋_GB2312" w:eastAsia="仿宋_GB2312" w:hAnsi="Times New Roman" w:cs="Times New Roman"/>
          <w:sz w:val="32"/>
          <w:szCs w:val="32"/>
          <w:lang w:val="zh-CN"/>
        </w:rPr>
      </w:pPr>
      <w:r>
        <w:rPr>
          <w:rFonts w:ascii="仿宋_GB2312" w:eastAsia="仿宋_GB2312" w:hAnsi="Times New Roman" w:cs="Times New Roman"/>
          <w:sz w:val="32"/>
          <w:szCs w:val="32"/>
          <w:lang w:val="zh-CN"/>
        </w:rPr>
        <w:t>巩固中央、省</w:t>
      </w:r>
      <w:r>
        <w:rPr>
          <w:rFonts w:ascii="仿宋_GB2312" w:eastAsia="仿宋_GB2312" w:hAnsi="Times New Roman" w:cs="Times New Roman" w:hint="eastAsia"/>
          <w:sz w:val="32"/>
          <w:szCs w:val="32"/>
          <w:lang w:val="zh-CN"/>
        </w:rPr>
        <w:t>生态环保保护督察反馈意见</w:t>
      </w:r>
      <w:r>
        <w:rPr>
          <w:rFonts w:ascii="仿宋_GB2312" w:eastAsia="仿宋_GB2312" w:hAnsi="Times New Roman" w:cs="Times New Roman"/>
          <w:sz w:val="32"/>
          <w:szCs w:val="32"/>
          <w:lang w:val="zh-CN"/>
        </w:rPr>
        <w:t>整改成</w:t>
      </w:r>
      <w:r>
        <w:rPr>
          <w:rFonts w:ascii="仿宋_GB2312" w:eastAsia="仿宋_GB2312" w:hAnsi="Times New Roman" w:cs="Times New Roman"/>
          <w:sz w:val="32"/>
          <w:szCs w:val="32"/>
        </w:rPr>
        <w:t>果</w:t>
      </w:r>
      <w:r>
        <w:rPr>
          <w:rFonts w:ascii="仿宋_GB2312" w:eastAsia="仿宋_GB2312" w:cs="Times New Roman" w:hint="eastAsia"/>
          <w:sz w:val="32"/>
          <w:szCs w:val="32"/>
        </w:rPr>
        <w:t>，</w:t>
      </w:r>
      <w:r>
        <w:rPr>
          <w:rFonts w:ascii="仿宋_GB2312" w:eastAsia="仿宋_GB2312" w:hAnsi="仿宋_GB2312"/>
          <w:bCs/>
          <w:color w:val="000000"/>
          <w:sz w:val="32"/>
          <w:szCs w:val="32"/>
        </w:rPr>
        <w:t>推进精准治污、科学</w:t>
      </w:r>
      <w:r>
        <w:rPr>
          <w:rFonts w:ascii="仿宋_GB2312" w:eastAsia="仿宋_GB2312" w:hAnsi="仿宋_GB2312" w:hint="eastAsia"/>
          <w:bCs/>
          <w:color w:val="000000"/>
          <w:sz w:val="32"/>
          <w:szCs w:val="32"/>
        </w:rPr>
        <w:t>治污</w:t>
      </w:r>
      <w:r>
        <w:rPr>
          <w:rFonts w:ascii="仿宋_GB2312" w:eastAsia="仿宋_GB2312" w:hAnsi="仿宋_GB2312"/>
          <w:bCs/>
          <w:color w:val="000000"/>
          <w:sz w:val="32"/>
          <w:szCs w:val="32"/>
        </w:rPr>
        <w:t>、依法治污</w:t>
      </w:r>
      <w:r>
        <w:rPr>
          <w:rFonts w:ascii="仿宋_GB2312" w:eastAsia="仿宋_GB2312" w:hAnsi="仿宋_GB2312" w:hint="eastAsia"/>
          <w:bCs/>
          <w:color w:val="000000"/>
          <w:sz w:val="32"/>
          <w:szCs w:val="32"/>
        </w:rPr>
        <w:t>，强化污染物总量控制，解决人民群众身边突出生态环境问题，</w:t>
      </w:r>
      <w:r>
        <w:rPr>
          <w:rFonts w:ascii="仿宋_GB2312" w:eastAsia="仿宋_GB2312" w:hAnsi="仿宋_GB2312"/>
          <w:bCs/>
          <w:color w:val="000000"/>
          <w:sz w:val="32"/>
          <w:szCs w:val="32"/>
        </w:rPr>
        <w:t>持续</w:t>
      </w:r>
      <w:r>
        <w:rPr>
          <w:rFonts w:ascii="仿宋_GB2312" w:eastAsia="仿宋_GB2312" w:hAnsi="仿宋_GB2312" w:hint="eastAsia"/>
          <w:bCs/>
          <w:color w:val="000000"/>
          <w:sz w:val="32"/>
          <w:szCs w:val="32"/>
        </w:rPr>
        <w:t>改善生态环境质量。</w:t>
      </w:r>
    </w:p>
    <w:p w14:paraId="76A3556F" w14:textId="77777777" w:rsidR="00501569" w:rsidRDefault="00C74794">
      <w:pPr>
        <w:ind w:firstLineChars="200" w:firstLine="643"/>
      </w:pPr>
      <w:r>
        <w:rPr>
          <w:rFonts w:ascii="仿宋_GB2312" w:eastAsia="仿宋_GB2312" w:hAnsi="仿宋_GB2312" w:cs="仿宋_GB2312" w:hint="eastAsia"/>
          <w:b/>
          <w:color w:val="000000"/>
          <w:sz w:val="32"/>
          <w:szCs w:val="32"/>
        </w:rPr>
        <w:t>改善空气环境质量。</w:t>
      </w:r>
      <w:r>
        <w:rPr>
          <w:rFonts w:ascii="仿宋_GB2312" w:eastAsia="仿宋_GB2312" w:hAnsi="仿宋_GB2312" w:cs="仿宋_GB2312" w:hint="eastAsia"/>
          <w:sz w:val="32"/>
          <w:szCs w:val="32"/>
        </w:rPr>
        <w:t>综合整治工业企业大气污染，强化重点行业污染减排，推进工业企业清洁生产。加强“散乱污”企业综合整治，按照一企一册建立台账，对列入关停取缔类的做到“两断三清”。</w:t>
      </w:r>
      <w:r>
        <w:rPr>
          <w:rFonts w:ascii="仿宋_GB2312" w:eastAsia="仿宋_GB2312" w:hAnsi="仿宋_GB2312" w:cs="仿宋_GB2312" w:hint="eastAsia"/>
          <w:color w:val="000000"/>
          <w:sz w:val="32"/>
          <w:szCs w:val="32"/>
        </w:rPr>
        <w:t>推进冬季清洁供暖，加大力度实施散煤治理。加强春秋季禁限烧管控，坚决遏制秸秆露天无序焚烧，建立完善秸秆全量化利用长效机制。提高新建燃煤锅炉准入</w:t>
      </w:r>
      <w:r>
        <w:rPr>
          <w:rFonts w:ascii="仿宋_GB2312" w:eastAsia="仿宋_GB2312" w:hAnsi="仿宋_GB2312" w:cs="仿宋_GB2312" w:hint="eastAsia"/>
          <w:sz w:val="32"/>
          <w:szCs w:val="32"/>
        </w:rPr>
        <w:lastRenderedPageBreak/>
        <w:t>门槛，推进秸秆成型燃料和捆烧直燃方式淘汰燃煤小锅炉。开展石化、工业涂装、包装印刷等重点行业挥发性有机物综合整治。加强移动源污染和城市扬尘污染治理，构建“车—油—路”一体的轻型车超低排放控制体系，加强机动车污染防治，落实柴油货车污染防控治理，强化渣土运输车辆、建筑工地清洁化管理。到2025年，基本消除重污染天气。</w:t>
      </w:r>
    </w:p>
    <w:p w14:paraId="73117DFB" w14:textId="77777777" w:rsidR="00501569" w:rsidRDefault="00C74794">
      <w:pPr>
        <w:ind w:firstLineChars="200" w:firstLine="643"/>
        <w:rPr>
          <w:rFonts w:ascii="仿宋_GB2312" w:eastAsia="仿宋_GB2312"/>
          <w:sz w:val="32"/>
          <w:szCs w:val="32"/>
        </w:rPr>
      </w:pPr>
      <w:r>
        <w:rPr>
          <w:rFonts w:ascii="仿宋_GB2312" w:eastAsia="仿宋_GB2312" w:cs="Times New Roman" w:hint="eastAsia"/>
          <w:b/>
          <w:bCs/>
          <w:sz w:val="32"/>
          <w:szCs w:val="32"/>
        </w:rPr>
        <w:t>改善水环境质量。</w:t>
      </w:r>
      <w:r>
        <w:rPr>
          <w:rFonts w:ascii="仿宋_GB2312" w:eastAsia="仿宋_GB2312" w:hint="eastAsia"/>
          <w:bCs/>
          <w:color w:val="000000"/>
          <w:sz w:val="32"/>
          <w:szCs w:val="32"/>
        </w:rPr>
        <w:t>推进东辽河、新凯河、卡伦水库等重点河流、水库污染治理和生态</w:t>
      </w:r>
      <w:r>
        <w:rPr>
          <w:rFonts w:ascii="仿宋_GB2312" w:eastAsia="仿宋_GB2312" w:hAnsi="仿宋_GB2312" w:cs="仿宋_GB2312"/>
          <w:sz w:val="32"/>
          <w:szCs w:val="32"/>
        </w:rPr>
        <w:t>专项整治行动</w:t>
      </w:r>
      <w:r>
        <w:rPr>
          <w:rFonts w:ascii="仿宋_GB2312" w:eastAsia="仿宋_GB2312" w:hint="eastAsia"/>
          <w:bCs/>
          <w:color w:val="000000"/>
          <w:sz w:val="32"/>
          <w:szCs w:val="32"/>
        </w:rPr>
        <w:t>，强化饮用水水源地</w:t>
      </w:r>
      <w:r>
        <w:rPr>
          <w:rFonts w:ascii="仿宋_GB2312" w:eastAsia="仿宋_GB2312" w:hAnsi="仿宋_GB2312" w:cs="仿宋_GB2312"/>
          <w:sz w:val="32"/>
          <w:szCs w:val="32"/>
        </w:rPr>
        <w:t>规范化建设</w:t>
      </w:r>
      <w:r>
        <w:rPr>
          <w:rFonts w:ascii="仿宋_GB2312" w:eastAsia="仿宋_GB2312" w:hint="eastAsia"/>
          <w:sz w:val="32"/>
          <w:szCs w:val="32"/>
        </w:rPr>
        <w:t>，建立水质、水量、水生态统筹的目标清单和责任清单。持续推进乡镇污水收集处理、污水处理及回用，全面清理整治城乡黑臭水体。到2</w:t>
      </w:r>
      <w:r>
        <w:rPr>
          <w:rFonts w:ascii="仿宋_GB2312" w:eastAsia="仿宋_GB2312"/>
          <w:sz w:val="32"/>
          <w:szCs w:val="32"/>
        </w:rPr>
        <w:t>025</w:t>
      </w:r>
      <w:r>
        <w:rPr>
          <w:rFonts w:ascii="仿宋_GB2312" w:eastAsia="仿宋_GB2312" w:hint="eastAsia"/>
          <w:sz w:val="32"/>
          <w:szCs w:val="32"/>
        </w:rPr>
        <w:t>年，形成一批可复制、可推广的农村黑臭水体治理模式。</w:t>
      </w:r>
      <w:r>
        <w:rPr>
          <w:rFonts w:ascii="仿宋_GB2312" w:eastAsia="仿宋_GB2312"/>
          <w:sz w:val="32"/>
          <w:szCs w:val="32"/>
        </w:rPr>
        <w:t>构建水污染防治</w:t>
      </w:r>
      <w:r>
        <w:rPr>
          <w:rFonts w:ascii="仿宋_GB2312" w:eastAsia="仿宋_GB2312" w:hint="eastAsia"/>
          <w:sz w:val="32"/>
          <w:szCs w:val="32"/>
        </w:rPr>
        <w:t>、</w:t>
      </w:r>
      <w:r>
        <w:rPr>
          <w:rFonts w:ascii="仿宋_GB2312" w:eastAsia="仿宋_GB2312"/>
          <w:sz w:val="32"/>
          <w:szCs w:val="32"/>
        </w:rPr>
        <w:t>水生态修复</w:t>
      </w:r>
      <w:r>
        <w:rPr>
          <w:rFonts w:ascii="仿宋_GB2312" w:eastAsia="仿宋_GB2312" w:hint="eastAsia"/>
          <w:sz w:val="32"/>
          <w:szCs w:val="32"/>
        </w:rPr>
        <w:t>、</w:t>
      </w:r>
      <w:r>
        <w:rPr>
          <w:rFonts w:ascii="仿宋_GB2312" w:eastAsia="仿宋_GB2312"/>
          <w:sz w:val="32"/>
          <w:szCs w:val="32"/>
        </w:rPr>
        <w:t>畜禽污染防治</w:t>
      </w:r>
      <w:r>
        <w:rPr>
          <w:rFonts w:ascii="仿宋_GB2312" w:eastAsia="仿宋_GB2312" w:hint="eastAsia"/>
          <w:sz w:val="32"/>
          <w:szCs w:val="32"/>
        </w:rPr>
        <w:t>、</w:t>
      </w:r>
      <w:r>
        <w:rPr>
          <w:rFonts w:ascii="仿宋_GB2312" w:eastAsia="仿宋_GB2312"/>
          <w:sz w:val="32"/>
          <w:szCs w:val="32"/>
        </w:rPr>
        <w:t>生态需水保障等多技术综合治理体系</w:t>
      </w:r>
      <w:r>
        <w:rPr>
          <w:rFonts w:ascii="仿宋_GB2312" w:eastAsia="仿宋_GB2312" w:hint="eastAsia"/>
          <w:sz w:val="32"/>
          <w:szCs w:val="32"/>
        </w:rPr>
        <w:t>，推进工业废水污水处理、生活污水处理、水生态保护修复、水量水质联合调度等工程建设。加快推进入河排污口规范整治，完善污口分类整治的规范化管理机制。全面落实河长制，持续开展河道清理整治行动。加强地下水污染防治，强化地下水污染监测网络建设和地下水污染评估。</w:t>
      </w:r>
    </w:p>
    <w:p w14:paraId="011AED5D" w14:textId="77777777" w:rsidR="00501569" w:rsidRDefault="00C74794">
      <w:pPr>
        <w:ind w:firstLineChars="200" w:firstLine="643"/>
        <w:rPr>
          <w:rFonts w:ascii="仿宋_GB2312" w:eastAsia="仿宋_GB2312" w:hAnsi="仿宋_GB2312"/>
          <w:bCs/>
          <w:color w:val="000000"/>
          <w:sz w:val="32"/>
          <w:szCs w:val="32"/>
        </w:rPr>
      </w:pPr>
      <w:r>
        <w:rPr>
          <w:rFonts w:ascii="仿宋_GB2312" w:eastAsia="仿宋_GB2312" w:hint="eastAsia"/>
          <w:b/>
          <w:color w:val="000000"/>
          <w:sz w:val="32"/>
          <w:szCs w:val="32"/>
        </w:rPr>
        <w:t>改善土壤环境质量。</w:t>
      </w:r>
      <w:r>
        <w:rPr>
          <w:rFonts w:ascii="仿宋_GB2312" w:eastAsia="仿宋_GB2312" w:hint="eastAsia"/>
          <w:bCs/>
          <w:color w:val="000000"/>
          <w:sz w:val="32"/>
          <w:szCs w:val="32"/>
        </w:rPr>
        <w:t>建立土壤污染源头预防和风险管控体系，</w:t>
      </w:r>
      <w:r>
        <w:rPr>
          <w:rFonts w:ascii="仿宋_GB2312" w:eastAsia="仿宋_GB2312" w:hAnsi="仿宋_GB2312" w:cs="仿宋_GB2312" w:hint="eastAsia"/>
          <w:sz w:val="32"/>
          <w:szCs w:val="32"/>
        </w:rPr>
        <w:t>强化农业面源污染防治，</w:t>
      </w:r>
      <w:r>
        <w:rPr>
          <w:rFonts w:ascii="仿宋_GB2312" w:eastAsia="仿宋_GB2312" w:hint="eastAsia"/>
          <w:bCs/>
          <w:color w:val="000000"/>
          <w:sz w:val="32"/>
          <w:szCs w:val="32"/>
        </w:rPr>
        <w:t>推广农药减量控害和化肥减量增效技术模式</w:t>
      </w:r>
      <w:r>
        <w:rPr>
          <w:rFonts w:ascii="仿宋_GB2312" w:eastAsia="仿宋_GB2312" w:hint="eastAsia"/>
          <w:sz w:val="32"/>
          <w:szCs w:val="32"/>
        </w:rPr>
        <w:t>，推广农业清洁生产技术</w:t>
      </w:r>
      <w:r>
        <w:rPr>
          <w:rFonts w:ascii="仿宋_GB2312" w:eastAsia="仿宋_GB2312" w:hint="eastAsia"/>
          <w:bCs/>
          <w:color w:val="000000"/>
          <w:sz w:val="32"/>
          <w:szCs w:val="32"/>
        </w:rPr>
        <w:t>。</w:t>
      </w:r>
      <w:r>
        <w:rPr>
          <w:rFonts w:ascii="仿宋_GB2312" w:eastAsia="仿宋_GB2312" w:hAnsi="仿宋_GB2312" w:hint="eastAsia"/>
          <w:bCs/>
          <w:color w:val="000000"/>
          <w:sz w:val="32"/>
          <w:szCs w:val="32"/>
        </w:rPr>
        <w:t>强化畜禽养殖废弃物资源化利用，</w:t>
      </w:r>
      <w:r>
        <w:rPr>
          <w:rFonts w:ascii="仿宋_GB2312" w:eastAsia="仿宋_GB2312" w:hint="eastAsia"/>
          <w:sz w:val="32"/>
          <w:szCs w:val="32"/>
        </w:rPr>
        <w:t>防止畜禽养殖污染，合理设置畜禽养殖禁</w:t>
      </w:r>
      <w:r>
        <w:rPr>
          <w:rFonts w:ascii="仿宋_GB2312" w:eastAsia="仿宋_GB2312" w:hint="eastAsia"/>
          <w:sz w:val="32"/>
          <w:szCs w:val="32"/>
        </w:rPr>
        <w:lastRenderedPageBreak/>
        <w:t>养区，降低畜禽养殖污染排放强度。加强农业废弃物回收和综合利用，</w:t>
      </w:r>
      <w:r>
        <w:rPr>
          <w:rFonts w:ascii="仿宋_GB2312" w:eastAsia="仿宋_GB2312" w:hAnsi="仿宋_GB2312" w:hint="eastAsia"/>
          <w:bCs/>
          <w:color w:val="000000"/>
          <w:sz w:val="32"/>
          <w:szCs w:val="32"/>
        </w:rPr>
        <w:t>推进固体废弃物综合治理和城市生活垃圾分类，合理规划布局生活垃圾焚烧处理设施。</w:t>
      </w:r>
      <w:r>
        <w:rPr>
          <w:rFonts w:ascii="仿宋_GB2312" w:eastAsia="仿宋_GB2312" w:hint="eastAsia"/>
          <w:bCs/>
          <w:color w:val="000000"/>
          <w:sz w:val="32"/>
          <w:szCs w:val="32"/>
        </w:rPr>
        <w:t>严厉打击危险废物破坏环境违法行为，</w:t>
      </w:r>
      <w:r>
        <w:rPr>
          <w:rFonts w:ascii="仿宋_GB2312" w:eastAsia="仿宋_GB2312" w:hAnsi="仿宋_GB2312" w:hint="eastAsia"/>
          <w:bCs/>
          <w:color w:val="000000"/>
          <w:sz w:val="32"/>
          <w:szCs w:val="32"/>
        </w:rPr>
        <w:t>开展无主污染源清理整治。</w:t>
      </w:r>
      <w:r>
        <w:rPr>
          <w:rFonts w:ascii="仿宋_GB2312" w:eastAsia="仿宋_GB2312" w:hint="eastAsia"/>
          <w:sz w:val="32"/>
          <w:szCs w:val="32"/>
        </w:rPr>
        <w:t>推进重点行业企业土壤污染状况调查和农用土壤污染状况详查。加强危险废物全面安全管控力度，开展“无废城市”建设。</w:t>
      </w:r>
    </w:p>
    <w:p w14:paraId="0110C0E9" w14:textId="77777777" w:rsidR="00501569" w:rsidRDefault="00C74794">
      <w:pPr>
        <w:ind w:firstLineChars="200" w:firstLine="643"/>
      </w:pPr>
      <w:r>
        <w:rPr>
          <w:rFonts w:ascii="仿宋_GB2312" w:eastAsia="仿宋_GB2312" w:hAnsi="Times New Roman" w:hint="eastAsia"/>
          <w:b/>
          <w:color w:val="000000"/>
          <w:sz w:val="32"/>
          <w:szCs w:val="32"/>
        </w:rPr>
        <w:t>实行最严格的生态环境保护制度。</w:t>
      </w:r>
      <w:r>
        <w:rPr>
          <w:rFonts w:ascii="仿宋_GB2312" w:eastAsia="仿宋_GB2312" w:hAnsi="Times New Roman" w:hint="eastAsia"/>
          <w:bCs/>
          <w:color w:val="000000"/>
          <w:sz w:val="32"/>
          <w:szCs w:val="32"/>
        </w:rPr>
        <w:t>健全源头预防、过程控制、损害赔偿、责任追究的生态环境保护体系。落实主体功能区战略和制度，建立资源环境承载能力监测预警长效机制。统筹生态保护红线、环境质量底线、资源利用上线的管控要求，</w:t>
      </w:r>
      <w:r>
        <w:rPr>
          <w:rFonts w:ascii="仿宋_GB2312" w:eastAsia="仿宋_GB2312" w:hint="eastAsia"/>
          <w:bCs/>
          <w:color w:val="000000"/>
          <w:sz w:val="32"/>
          <w:szCs w:val="32"/>
        </w:rPr>
        <w:t>明确</w:t>
      </w:r>
      <w:r>
        <w:rPr>
          <w:rFonts w:ascii="仿宋_GB2312" w:eastAsia="仿宋_GB2312" w:hAnsi="Times New Roman" w:hint="eastAsia"/>
          <w:bCs/>
          <w:color w:val="000000"/>
          <w:sz w:val="32"/>
          <w:szCs w:val="32"/>
        </w:rPr>
        <w:t>各环境管控单元的生态环境准入</w:t>
      </w:r>
      <w:r>
        <w:rPr>
          <w:rFonts w:ascii="仿宋_GB2312" w:eastAsia="仿宋_GB2312" w:hint="eastAsia"/>
          <w:bCs/>
          <w:color w:val="000000"/>
          <w:sz w:val="32"/>
          <w:szCs w:val="32"/>
        </w:rPr>
        <w:t>清单</w:t>
      </w:r>
      <w:r>
        <w:rPr>
          <w:rFonts w:ascii="仿宋_GB2312" w:eastAsia="仿宋_GB2312" w:hAnsi="Times New Roman" w:hint="eastAsia"/>
          <w:bCs/>
          <w:color w:val="000000"/>
          <w:sz w:val="32"/>
          <w:szCs w:val="32"/>
        </w:rPr>
        <w:t>，</w:t>
      </w:r>
      <w:r>
        <w:rPr>
          <w:rFonts w:ascii="仿宋_GB2312" w:eastAsia="仿宋_GB2312" w:hAnsi="仿宋_GB2312" w:cs="仿宋_GB2312" w:hint="eastAsia"/>
          <w:sz w:val="32"/>
          <w:szCs w:val="32"/>
        </w:rPr>
        <w:t>完善以“三线一单”制度为核心的生态环境分区管控体系。</w:t>
      </w:r>
      <w:r>
        <w:rPr>
          <w:rFonts w:eastAsia="仿宋_GB2312" w:cs="Times New Roman" w:hint="eastAsia"/>
          <w:color w:val="000000" w:themeColor="text1"/>
          <w:sz w:val="32"/>
          <w:szCs w:val="32"/>
        </w:rPr>
        <w:t>构建现代环境治理体系，</w:t>
      </w:r>
      <w:r>
        <w:rPr>
          <w:rFonts w:ascii="仿宋_GB2312" w:eastAsia="仿宋_GB2312" w:hAnsi="Times New Roman" w:cs="Times New Roman"/>
          <w:sz w:val="32"/>
          <w:szCs w:val="32"/>
          <w:lang w:val="zh-CN"/>
        </w:rPr>
        <w:t>推进环境监测、监察、应急等环境保护能力建设</w:t>
      </w:r>
      <w:r>
        <w:rPr>
          <w:rFonts w:ascii="仿宋_GB2312" w:eastAsia="仿宋_GB2312" w:hAnsi="Times New Roman" w:cs="Times New Roman" w:hint="eastAsia"/>
          <w:sz w:val="32"/>
          <w:szCs w:val="32"/>
          <w:lang w:val="zh-CN"/>
        </w:rPr>
        <w:t>。</w:t>
      </w:r>
      <w:r>
        <w:rPr>
          <w:rFonts w:ascii="仿宋_GB2312" w:eastAsia="仿宋_GB2312" w:hAnsi="仿宋_GB2312" w:cs="仿宋_GB2312" w:hint="eastAsia"/>
          <w:sz w:val="32"/>
          <w:szCs w:val="32"/>
        </w:rPr>
        <w:t>严明生态环境保护责任制度，</w:t>
      </w:r>
      <w:r>
        <w:rPr>
          <w:rFonts w:ascii="仿宋_GB2312" w:eastAsia="仿宋_GB2312" w:hAnsi="Times New Roman" w:hint="eastAsia"/>
          <w:bCs/>
          <w:color w:val="000000"/>
          <w:sz w:val="32"/>
          <w:szCs w:val="32"/>
        </w:rPr>
        <w:t>严格落实企业主体责任和政府监管责任，完善污染防治区域联防联控体系和协作机制。</w:t>
      </w:r>
    </w:p>
    <w:p w14:paraId="7AC55FFE" w14:textId="77777777" w:rsidR="00501569" w:rsidRPr="005717BE" w:rsidRDefault="00C74794" w:rsidP="0045498C">
      <w:pPr>
        <w:pStyle w:val="20"/>
        <w:spacing w:beforeLines="50" w:before="156" w:afterLines="50" w:after="156"/>
        <w:rPr>
          <w:rFonts w:ascii="楷体_GB2312" w:hAnsi="楷体_GB2312" w:cs="楷体_GB2312"/>
        </w:rPr>
      </w:pPr>
      <w:bookmarkStart w:id="112" w:name="_Toc9224"/>
      <w:r w:rsidRPr="005717BE">
        <w:rPr>
          <w:rFonts w:ascii="楷体_GB2312" w:hAnsi="楷体_GB2312" w:cs="楷体_GB2312" w:hint="eastAsia"/>
        </w:rPr>
        <w:t>第三节 提高资源能源利用效率</w:t>
      </w:r>
      <w:bookmarkEnd w:id="112"/>
    </w:p>
    <w:p w14:paraId="01008534"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持续降低水、土地和能源资源消耗强度，大力发展循环经济、绿色产业,大幅提高资源能源使用效率，建设资源节约型社会。</w:t>
      </w:r>
    </w:p>
    <w:p w14:paraId="0C02D2AB" w14:textId="77777777" w:rsidR="00501569" w:rsidRDefault="00C74794">
      <w:pPr>
        <w:ind w:firstLineChars="200" w:firstLine="643"/>
        <w:rPr>
          <w:rFonts w:ascii="仿宋_GB2312" w:eastAsia="仿宋_GB2312"/>
          <w:sz w:val="32"/>
          <w:szCs w:val="32"/>
        </w:rPr>
      </w:pPr>
      <w:r>
        <w:rPr>
          <w:rFonts w:ascii="仿宋_GB2312" w:eastAsia="仿宋_GB2312" w:hint="eastAsia"/>
          <w:b/>
          <w:bCs/>
          <w:sz w:val="32"/>
          <w:szCs w:val="32"/>
        </w:rPr>
        <w:t>深入实施节水行动</w:t>
      </w:r>
      <w:r>
        <w:rPr>
          <w:rFonts w:ascii="仿宋_GB2312" w:eastAsia="仿宋_GB2312" w:hint="eastAsia"/>
          <w:sz w:val="32"/>
          <w:szCs w:val="32"/>
        </w:rPr>
        <w:t>。提升农业用水效率，加大灌区节水改造力度，推进高效节水灌溉，优化调整作物种植结构。大</w:t>
      </w:r>
      <w:r>
        <w:rPr>
          <w:rFonts w:ascii="仿宋_GB2312" w:eastAsia="仿宋_GB2312" w:hint="eastAsia"/>
          <w:sz w:val="32"/>
          <w:szCs w:val="32"/>
        </w:rPr>
        <w:lastRenderedPageBreak/>
        <w:t>力推进工业节水改造，推动高耗水行业节水增效，推行水循环梯级利用，促进工业节水减排。加快推进农村生活节水，加强农村、乡镇集中供水工程建设，构建城镇良性水循环系统。实施最严格的水资源管理。以取水许可为重点，规范取用水管理，严格取水用水审批，落实用水量控制红线，大力推进节水型社会建设，加强地下水源保护，严格控制地下水超采。</w:t>
      </w:r>
    </w:p>
    <w:p w14:paraId="63589521" w14:textId="77777777" w:rsidR="00501569" w:rsidRDefault="00C74794">
      <w:pPr>
        <w:ind w:firstLineChars="200" w:firstLine="643"/>
        <w:rPr>
          <w:rFonts w:ascii="仿宋_GB2312" w:eastAsia="仿宋_GB2312"/>
          <w:sz w:val="32"/>
          <w:szCs w:val="32"/>
        </w:rPr>
      </w:pPr>
      <w:r>
        <w:rPr>
          <w:rFonts w:ascii="仿宋_GB2312" w:eastAsia="仿宋_GB2312" w:hint="eastAsia"/>
          <w:b/>
          <w:bCs/>
          <w:sz w:val="32"/>
          <w:szCs w:val="32"/>
        </w:rPr>
        <w:t>提高土地资源节约集约利用水平。</w:t>
      </w:r>
      <w:r>
        <w:rPr>
          <w:rFonts w:ascii="仿宋_GB2312" w:eastAsia="仿宋_GB2312" w:hint="eastAsia"/>
          <w:sz w:val="32"/>
          <w:szCs w:val="32"/>
        </w:rPr>
        <w:t>严格保护永久基本农田，加快中低产田综合改造，加强黑土地保护性耕作，防止撂荒。</w:t>
      </w:r>
      <w:r>
        <w:rPr>
          <w:rFonts w:ascii="仿宋_GB2312" w:eastAsia="仿宋_GB2312" w:hAnsi="仿宋_GB2312" w:hint="eastAsia"/>
          <w:color w:val="000000"/>
          <w:sz w:val="32"/>
          <w:szCs w:val="32"/>
        </w:rPr>
        <w:t>严控国土开发强度，完善国有建设用地使用权二级市场，盘活城镇低效用地、闲置工矿用地等存量建设用地</w:t>
      </w:r>
      <w:r>
        <w:rPr>
          <w:rFonts w:ascii="仿宋_GB2312" w:eastAsia="仿宋_GB2312" w:hint="eastAsia"/>
          <w:sz w:val="32"/>
          <w:szCs w:val="32"/>
        </w:rPr>
        <w:t>，提高农业经营性建设用地周转和利用效率，提高建设用地综合利用效益。</w:t>
      </w:r>
    </w:p>
    <w:p w14:paraId="585E025E" w14:textId="77777777" w:rsidR="00501569" w:rsidRDefault="00C74794">
      <w:pPr>
        <w:ind w:firstLineChars="200" w:firstLine="643"/>
      </w:pPr>
      <w:r>
        <w:rPr>
          <w:rFonts w:ascii="仿宋_GB2312" w:eastAsia="仿宋_GB2312" w:hAnsi="仿宋_GB2312" w:hint="eastAsia"/>
          <w:b/>
          <w:bCs/>
          <w:color w:val="000000"/>
          <w:sz w:val="32"/>
          <w:szCs w:val="32"/>
        </w:rPr>
        <w:t>严格执行能源消费总量和强度双控制度。</w:t>
      </w:r>
      <w:r>
        <w:rPr>
          <w:rFonts w:ascii="仿宋_GB2312" w:eastAsia="仿宋_GB2312" w:hAnsi="仿宋_GB2312" w:cs="仿宋_GB2312" w:hint="eastAsia"/>
          <w:sz w:val="32"/>
          <w:szCs w:val="32"/>
        </w:rPr>
        <w:t>完善地区能耗总量预算管理机制，严格固定资产投资项目节能评估和审查。实施工业、交通运输、建筑、公共机构等领域节能减排降碳行动计划。</w:t>
      </w:r>
      <w:r>
        <w:rPr>
          <w:rFonts w:ascii="仿宋_GB2312" w:eastAsia="仿宋_GB2312" w:hAnsi="仿宋_GB2312" w:hint="eastAsia"/>
          <w:color w:val="000000"/>
          <w:sz w:val="32"/>
          <w:szCs w:val="32"/>
        </w:rPr>
        <w:t>控制化石能源消费增量，加快发展可再生能源。发展绿色产业和循环经济，</w:t>
      </w:r>
      <w:r>
        <w:rPr>
          <w:rFonts w:ascii="仿宋_GB2312" w:eastAsia="仿宋_GB2312" w:hint="eastAsia"/>
          <w:sz w:val="32"/>
          <w:szCs w:val="32"/>
        </w:rPr>
        <w:t>构建循环低碳型工业体系，</w:t>
      </w:r>
      <w:r>
        <w:rPr>
          <w:rFonts w:ascii="仿宋_GB2312" w:eastAsia="仿宋_GB2312" w:hAnsi="仿宋_GB2312" w:hint="eastAsia"/>
          <w:color w:val="000000"/>
          <w:sz w:val="32"/>
          <w:szCs w:val="32"/>
        </w:rPr>
        <w:t>壮大节能环保和清洁能源产业，</w:t>
      </w:r>
      <w:r>
        <w:rPr>
          <w:rFonts w:ascii="仿宋_GB2312" w:eastAsia="仿宋_GB2312" w:hint="eastAsia"/>
          <w:sz w:val="32"/>
          <w:szCs w:val="32"/>
        </w:rPr>
        <w:t>推进工业节能减排和资源、能源及废弃物循环利用，</w:t>
      </w:r>
      <w:r>
        <w:rPr>
          <w:rFonts w:ascii="仿宋_GB2312" w:eastAsia="仿宋_GB2312" w:hAnsi="仿宋_GB2312" w:hint="eastAsia"/>
          <w:color w:val="000000"/>
          <w:sz w:val="32"/>
          <w:szCs w:val="32"/>
        </w:rPr>
        <w:t>加快园区绿色化循环化改造。</w:t>
      </w:r>
    </w:p>
    <w:p w14:paraId="298DBD8C" w14:textId="77777777" w:rsidR="00501569" w:rsidRPr="005717BE" w:rsidRDefault="00C74794" w:rsidP="0045498C">
      <w:pPr>
        <w:pStyle w:val="20"/>
        <w:spacing w:beforeLines="50" w:before="156" w:afterLines="50" w:after="156"/>
        <w:rPr>
          <w:rFonts w:ascii="楷体_GB2312" w:hAnsi="楷体_GB2312" w:cs="楷体_GB2312"/>
        </w:rPr>
      </w:pPr>
      <w:bookmarkStart w:id="113" w:name="_Toc14869"/>
      <w:r w:rsidRPr="005717BE">
        <w:rPr>
          <w:rFonts w:ascii="楷体_GB2312" w:hAnsi="楷体_GB2312" w:cs="楷体_GB2312" w:hint="eastAsia"/>
        </w:rPr>
        <w:t>第四节 构建生态文明体系</w:t>
      </w:r>
      <w:bookmarkEnd w:id="113"/>
    </w:p>
    <w:p w14:paraId="3DAD5ED4" w14:textId="77777777" w:rsidR="00501569" w:rsidRDefault="00C74794">
      <w:pPr>
        <w:ind w:firstLineChars="200" w:firstLine="640"/>
        <w:rPr>
          <w:rFonts w:ascii="仿宋_GB2312" w:eastAsia="仿宋_GB2312"/>
          <w:sz w:val="32"/>
          <w:szCs w:val="32"/>
        </w:rPr>
      </w:pPr>
      <w:r>
        <w:rPr>
          <w:rFonts w:ascii="仿宋_GB2312" w:eastAsia="仿宋_GB2312" w:hint="eastAsia"/>
          <w:sz w:val="32"/>
          <w:szCs w:val="32"/>
        </w:rPr>
        <w:t>倡导绿色低碳生活，强化节能环保理念，倡导绿色消费、</w:t>
      </w:r>
      <w:r>
        <w:rPr>
          <w:rFonts w:ascii="仿宋_GB2312" w:eastAsia="仿宋_GB2312" w:hint="eastAsia"/>
          <w:sz w:val="32"/>
          <w:szCs w:val="32"/>
        </w:rPr>
        <w:lastRenderedPageBreak/>
        <w:t>推广绿色建筑、推进绿色出行。推动绿色消费，倡导节约、绿色、低碳消费理念，制定和完善绿色消费指南，鼓励购买使用节能节水产品，限制和禁止使用一次性产品，完善居民水、电、气、垃圾处理等收费体系。推广绿色建筑，推进既有建筑绿色化改造，提升建筑节能、节水与环保效能。完善城市绿色公共交通体系，加强与周边城市和郊区的公交系统衔接和覆盖，推进绿色出行，倡导绿色交通出行方式，引导共享出行有序发展。加大生态文化宣传力度，实施全民新时代生态文明宣传教育行动计划，建设一批生态文明教育示范基地，开展以生活方式绿色化为主题的互动式教育，利用互联网宣传绿色节能低碳生活方式，创建一批绿色家庭、绿色社区、绿色学校。</w:t>
      </w:r>
    </w:p>
    <w:p w14:paraId="3F1BC2FB" w14:textId="77777777" w:rsidR="00501569" w:rsidRDefault="00C74794" w:rsidP="0045498C">
      <w:pPr>
        <w:spacing w:beforeLines="50" w:before="156" w:afterLines="50" w:after="156"/>
        <w:jc w:val="center"/>
        <w:outlineLvl w:val="0"/>
        <w:rPr>
          <w:rFonts w:ascii="黑体" w:eastAsia="黑体" w:hAnsi="黑体" w:cs="黑体"/>
          <w:sz w:val="32"/>
          <w:szCs w:val="32"/>
        </w:rPr>
      </w:pPr>
      <w:bookmarkStart w:id="114" w:name="_Toc31838"/>
      <w:r>
        <w:rPr>
          <w:rFonts w:ascii="黑体" w:eastAsia="黑体" w:hAnsi="黑体" w:cs="黑体" w:hint="eastAsia"/>
          <w:sz w:val="32"/>
          <w:szCs w:val="32"/>
        </w:rPr>
        <w:t>第十二章 补齐民生领域短板，共享振兴发展成果</w:t>
      </w:r>
      <w:bookmarkEnd w:id="114"/>
    </w:p>
    <w:p w14:paraId="2713FA77" w14:textId="77777777" w:rsidR="00501569" w:rsidRDefault="00C74794">
      <w:pPr>
        <w:autoSpaceDE w:val="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以人民为中心的发展思想，聚焦民生领域短板，不断健全幼有所育、学有所教、劳有所得、病有所医、老有所养、住有所居、弱有所扶等基本公共服务制度体系，不断增强人民群众的获得感、幸福感、安全感。</w:t>
      </w:r>
    </w:p>
    <w:p w14:paraId="447C748E"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15" w:name="_Toc6625"/>
      <w:r w:rsidRPr="005717BE">
        <w:rPr>
          <w:rFonts w:ascii="楷体_GB2312" w:eastAsia="楷体_GB2312" w:hAnsi="楷体_GB2312" w:cs="楷体_GB2312" w:hint="eastAsia"/>
          <w:b/>
          <w:bCs/>
          <w:sz w:val="32"/>
          <w:szCs w:val="32"/>
        </w:rPr>
        <w:t>第一节 实施就业优先战略</w:t>
      </w:r>
      <w:bookmarkEnd w:id="115"/>
    </w:p>
    <w:p w14:paraId="759056CE" w14:textId="77777777" w:rsidR="00501569" w:rsidRDefault="00C74794">
      <w:pPr>
        <w:pStyle w:val="NewNew"/>
        <w:ind w:firstLineChars="200" w:firstLine="640"/>
        <w:rPr>
          <w:rFonts w:ascii="仿宋_GB2312" w:eastAsia="仿宋_GB2312" w:hAnsi="仿宋_GB2312"/>
          <w:bCs/>
          <w:color w:val="000000"/>
          <w:sz w:val="32"/>
          <w:szCs w:val="32"/>
        </w:rPr>
      </w:pPr>
      <w:r>
        <w:rPr>
          <w:rFonts w:ascii="仿宋_GB2312" w:eastAsia="仿宋_GB2312" w:hAnsi="仿宋_GB2312" w:hint="eastAsia"/>
          <w:bCs/>
          <w:color w:val="000000"/>
          <w:sz w:val="32"/>
          <w:szCs w:val="32"/>
        </w:rPr>
        <w:t>健全更充分的就业促进机制，推动就业增长与经济增长良性互动，提升全市就业率，实现更高质量创业就业。</w:t>
      </w:r>
    </w:p>
    <w:p w14:paraId="3D5F1A44" w14:textId="77777777" w:rsidR="00501569" w:rsidRDefault="00C74794">
      <w:pPr>
        <w:pStyle w:val="NewNew"/>
        <w:ind w:firstLineChars="200" w:firstLine="643"/>
        <w:rPr>
          <w:rFonts w:ascii="仿宋_GB2312" w:eastAsia="仿宋_GB2312" w:hAnsi="仿宋_GB2312"/>
          <w:bCs/>
          <w:color w:val="000000"/>
          <w:sz w:val="32"/>
          <w:szCs w:val="32"/>
        </w:rPr>
      </w:pPr>
      <w:r>
        <w:rPr>
          <w:rFonts w:ascii="仿宋_GB2312" w:eastAsia="仿宋_GB2312" w:hAnsi="仿宋_GB2312" w:cs="仿宋_GB2312" w:hint="eastAsia"/>
          <w:b/>
          <w:bCs/>
          <w:kern w:val="0"/>
          <w:sz w:val="32"/>
          <w:szCs w:val="32"/>
        </w:rPr>
        <w:t>推进创业带动就业。</w:t>
      </w:r>
      <w:r>
        <w:rPr>
          <w:rFonts w:ascii="仿宋_GB2312" w:eastAsia="仿宋_GB2312" w:hAnsi="仿宋_GB2312" w:hint="eastAsia"/>
          <w:bCs/>
          <w:color w:val="000000"/>
          <w:sz w:val="32"/>
          <w:szCs w:val="32"/>
        </w:rPr>
        <w:t>落实创业扶持政策，建立政府激励</w:t>
      </w:r>
      <w:r>
        <w:rPr>
          <w:rFonts w:ascii="仿宋_GB2312" w:eastAsia="仿宋_GB2312" w:hAnsi="仿宋_GB2312" w:hint="eastAsia"/>
          <w:bCs/>
          <w:color w:val="000000"/>
          <w:sz w:val="32"/>
          <w:szCs w:val="32"/>
        </w:rPr>
        <w:lastRenderedPageBreak/>
        <w:t>创业、社会支持创业、劳动者勇于创业的体制机制。搭建就业平台，有效减轻企业负担，支持小微企业发展，加大稳岗支持力度，促进经济发展与创业就业联动。增加创业担保贷款贴息及奖补资金政策支持力度，</w:t>
      </w:r>
      <w:r>
        <w:rPr>
          <w:rFonts w:ascii="仿宋_GB2312" w:eastAsia="仿宋_GB2312" w:hAnsi="仿宋_GB2312"/>
          <w:bCs/>
          <w:color w:val="000000"/>
          <w:sz w:val="32"/>
          <w:szCs w:val="32"/>
        </w:rPr>
        <w:t>打造</w:t>
      </w:r>
      <w:r>
        <w:rPr>
          <w:rFonts w:ascii="仿宋_GB2312" w:eastAsia="仿宋_GB2312" w:hAnsi="仿宋_GB2312" w:hint="eastAsia"/>
          <w:bCs/>
          <w:color w:val="000000"/>
          <w:sz w:val="32"/>
          <w:szCs w:val="32"/>
        </w:rPr>
        <w:t>一批</w:t>
      </w:r>
      <w:r>
        <w:rPr>
          <w:rFonts w:ascii="仿宋_GB2312" w:eastAsia="仿宋_GB2312" w:hAnsi="仿宋_GB2312"/>
          <w:bCs/>
          <w:color w:val="000000"/>
          <w:sz w:val="32"/>
          <w:szCs w:val="32"/>
        </w:rPr>
        <w:t>“双创”创示范基地</w:t>
      </w:r>
      <w:r>
        <w:rPr>
          <w:rFonts w:ascii="仿宋_GB2312" w:eastAsia="仿宋_GB2312" w:hAnsi="仿宋_GB2312" w:hint="eastAsia"/>
          <w:bCs/>
          <w:color w:val="000000"/>
          <w:sz w:val="32"/>
          <w:szCs w:val="32"/>
        </w:rPr>
        <w:t>和</w:t>
      </w:r>
      <w:r>
        <w:rPr>
          <w:rFonts w:ascii="仿宋_GB2312" w:eastAsia="仿宋_GB2312" w:hAnsi="仿宋_GB2312"/>
          <w:bCs/>
          <w:color w:val="000000"/>
          <w:sz w:val="32"/>
          <w:szCs w:val="32"/>
        </w:rPr>
        <w:t>创业孵化示范基地，</w:t>
      </w:r>
      <w:r>
        <w:rPr>
          <w:rFonts w:ascii="仿宋_GB2312" w:eastAsia="仿宋_GB2312" w:hAnsi="仿宋_GB2312" w:hint="eastAsia"/>
          <w:bCs/>
          <w:color w:val="000000"/>
          <w:sz w:val="32"/>
          <w:szCs w:val="32"/>
        </w:rPr>
        <w:t>创造更多就业岗位。</w:t>
      </w:r>
    </w:p>
    <w:p w14:paraId="047F7F3E"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促进重点群体就业。</w:t>
      </w:r>
      <w:r>
        <w:rPr>
          <w:rFonts w:ascii="仿宋_GB2312" w:eastAsia="仿宋_GB2312" w:hAnsi="仿宋_GB2312" w:cs="仿宋_GB2312" w:hint="eastAsia"/>
          <w:sz w:val="32"/>
          <w:szCs w:val="32"/>
        </w:rPr>
        <w:t>开展“春风行动”，健全农民工输出输入地劳务对接机制，拓宽农民就业渠道，鼓励引导和扶持外出务工人员返乡创业。</w:t>
      </w:r>
      <w:r>
        <w:rPr>
          <w:rFonts w:ascii="仿宋_GB2312" w:eastAsia="仿宋_GB2312" w:hAnsi="仿宋_GB2312" w:cs="仿宋_GB2312"/>
          <w:sz w:val="32"/>
          <w:szCs w:val="32"/>
        </w:rPr>
        <w:t>建立就业困难高校毕业生专门台帐，开展“一对一”就业服务，提供技能培训和鉴定、就业推荐等全程就业服务。</w:t>
      </w:r>
      <w:r>
        <w:rPr>
          <w:rFonts w:ascii="仿宋_GB2312" w:eastAsia="仿宋_GB2312" w:hAnsi="仿宋_GB2312" w:cs="仿宋_GB2312" w:hint="eastAsia"/>
          <w:sz w:val="32"/>
          <w:szCs w:val="32"/>
        </w:rPr>
        <w:t>完善就业援助长效机制，对就业困难人员实行托底帮扶，扎实推动残疾人就业基地建设，促进残疾人就业。“十四五”期间，城镇登记失业率控制在4%以内，确保零就业家庭动态清零。</w:t>
      </w:r>
    </w:p>
    <w:p w14:paraId="2A412D84"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加强职业技能提升培训。</w:t>
      </w:r>
      <w:r>
        <w:rPr>
          <w:rFonts w:ascii="仿宋_GB2312" w:eastAsia="仿宋_GB2312" w:hAnsi="仿宋_GB2312" w:cs="仿宋_GB2312" w:hint="eastAsia"/>
          <w:sz w:val="32"/>
          <w:szCs w:val="32"/>
        </w:rPr>
        <w:t>落实各类就业群体培训制度，实施职业技能提升行动，大力发展各种不同类型、不同层次的职业技能培训，建立起适应社会经济发展需要、结构合理、灵活开放、特色鲜明、协调发展的培训体系。加大对农业转移人口的职业技能培训力度，推进农村实用人才培养计划和农民工向农技工转型服务计划。“十四五”期间，每年培育新型职业农民不低于2000人。</w:t>
      </w:r>
    </w:p>
    <w:p w14:paraId="217BD914" w14:textId="77777777" w:rsidR="00501569" w:rsidRPr="005717BE" w:rsidRDefault="00C74794" w:rsidP="0045498C">
      <w:pPr>
        <w:adjustRightInd w:val="0"/>
        <w:spacing w:beforeLines="50" w:before="156" w:afterLines="50" w:after="156"/>
        <w:ind w:firstLineChars="200" w:firstLine="643"/>
        <w:jc w:val="center"/>
        <w:outlineLvl w:val="1"/>
        <w:rPr>
          <w:rFonts w:ascii="仿宋_GB2312" w:eastAsia="仿宋_GB2312" w:hAnsi="仿宋_GB2312" w:cs="仿宋_GB2312"/>
          <w:b/>
          <w:bCs/>
          <w:sz w:val="32"/>
          <w:szCs w:val="32"/>
        </w:rPr>
      </w:pPr>
      <w:bookmarkStart w:id="116" w:name="_Toc32559"/>
      <w:r w:rsidRPr="005717BE">
        <w:rPr>
          <w:rFonts w:ascii="楷体_GB2312" w:eastAsia="楷体_GB2312" w:hAnsi="楷体_GB2312" w:cs="楷体_GB2312" w:hint="eastAsia"/>
          <w:b/>
          <w:bCs/>
          <w:sz w:val="32"/>
          <w:szCs w:val="32"/>
        </w:rPr>
        <w:t>第二节 提升社会保障能力</w:t>
      </w:r>
      <w:bookmarkEnd w:id="116"/>
    </w:p>
    <w:p w14:paraId="2743899E" w14:textId="77777777" w:rsidR="00501569" w:rsidRDefault="00C74794">
      <w:pPr>
        <w:pStyle w:val="New0"/>
        <w:ind w:firstLineChars="200" w:firstLine="640"/>
        <w:rPr>
          <w:rFonts w:ascii="仿宋_GB2312" w:eastAsia="仿宋_GB2312" w:hAnsi="仿宋_GB2312"/>
          <w:bCs/>
          <w:color w:val="000000"/>
          <w:sz w:val="32"/>
          <w:szCs w:val="32"/>
        </w:rPr>
      </w:pPr>
      <w:r>
        <w:rPr>
          <w:rFonts w:ascii="仿宋_GB2312" w:eastAsia="仿宋_GB2312" w:hAnsi="仿宋_GB2312" w:hint="eastAsia"/>
          <w:bCs/>
          <w:color w:val="000000"/>
          <w:sz w:val="32"/>
          <w:szCs w:val="32"/>
        </w:rPr>
        <w:t>构建城乡统筹、保障适度、更可持续的多层次社会保险</w:t>
      </w:r>
      <w:r>
        <w:rPr>
          <w:rFonts w:ascii="仿宋_GB2312" w:eastAsia="仿宋_GB2312" w:hAnsi="仿宋_GB2312" w:hint="eastAsia"/>
          <w:bCs/>
          <w:color w:val="000000"/>
          <w:sz w:val="32"/>
          <w:szCs w:val="32"/>
        </w:rPr>
        <w:lastRenderedPageBreak/>
        <w:t>体系，提高社会救助能力建设，稳步提高居民社会保障水平。</w:t>
      </w:r>
    </w:p>
    <w:p w14:paraId="65033276"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完善社会保险制度。</w:t>
      </w:r>
      <w:r>
        <w:rPr>
          <w:rFonts w:ascii="仿宋_GB2312" w:eastAsia="仿宋_GB2312" w:hAnsi="仿宋_GB2312" w:cs="仿宋_GB2312" w:hint="eastAsia"/>
          <w:sz w:val="32"/>
          <w:szCs w:val="32"/>
        </w:rPr>
        <w:t>实施全民参保计划，</w:t>
      </w:r>
      <w:r>
        <w:rPr>
          <w:rFonts w:ascii="仿宋_GB2312" w:eastAsia="仿宋_GB2312" w:hAnsi="仿宋_GB2312" w:cs="仿宋_GB2312" w:hint="eastAsia"/>
          <w:kern w:val="0"/>
          <w:sz w:val="32"/>
          <w:szCs w:val="32"/>
        </w:rPr>
        <w:t>放宽</w:t>
      </w:r>
      <w:r>
        <w:rPr>
          <w:rFonts w:ascii="仿宋_GB2312" w:eastAsia="仿宋_GB2312" w:hAnsi="仿宋_GB2312" w:cs="仿宋_GB2312"/>
          <w:kern w:val="0"/>
          <w:sz w:val="32"/>
          <w:szCs w:val="32"/>
        </w:rPr>
        <w:t>非公有制从业人员、</w:t>
      </w:r>
      <w:r>
        <w:rPr>
          <w:rFonts w:ascii="仿宋_GB2312" w:eastAsia="仿宋_GB2312" w:hAnsi="仿宋_GB2312" w:cs="仿宋_GB2312" w:hint="eastAsia"/>
          <w:kern w:val="0"/>
          <w:sz w:val="32"/>
          <w:szCs w:val="32"/>
        </w:rPr>
        <w:t>灵活就业人员参保条件</w:t>
      </w:r>
      <w:r>
        <w:rPr>
          <w:rFonts w:ascii="仿宋_GB2312" w:eastAsia="仿宋_GB2312" w:hAnsi="仿宋_GB2312" w:cs="仿宋_GB2312" w:hint="eastAsia"/>
          <w:sz w:val="32"/>
          <w:szCs w:val="32"/>
        </w:rPr>
        <w:t>，健全覆盖城乡、可持续的基本养老和基本医疗保险制度，确保基本养老金按时足额发放，确保失业人员按时足额享受失业保险待遇。建立社会保险待遇正常调整机制，落实社保医保转移接续、异地就医结算制度，健全大病保险和医疗救助制度，完善失业、工伤保险制度。推进与长春市社会保险关系无障碍转移和社会保险参保缴费年限互认，探索发行集养老、医疗、就业、失业、工伤、生育等于一体的社保卡，实现 “一卡通”。</w:t>
      </w:r>
    </w:p>
    <w:p w14:paraId="46B3BE52"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建立新型城乡社会救助体系</w:t>
      </w:r>
      <w:r>
        <w:rPr>
          <w:rFonts w:ascii="仿宋_GB2312" w:eastAsia="仿宋_GB2312" w:hAnsi="仿宋_GB2312" w:cs="仿宋_GB2312" w:hint="eastAsia"/>
          <w:sz w:val="32"/>
          <w:szCs w:val="32"/>
        </w:rPr>
        <w:t>。逐步推动最低生活保障、残疾人救助等相关标准与长春市统一。</w:t>
      </w:r>
      <w:r>
        <w:rPr>
          <w:rFonts w:ascii="仿宋_GB2312" w:eastAsia="仿宋_GB2312" w:hAnsi="仿宋_GB2312" w:cs="仿宋_GB2312" w:hint="eastAsia"/>
          <w:color w:val="000000"/>
          <w:sz w:val="32"/>
          <w:szCs w:val="32"/>
        </w:rPr>
        <w:t>加强对城镇贫困群众的救助，将符合条件的建档立卡贫困人口纳入低保或特困人员范围。</w:t>
      </w:r>
      <w:r>
        <w:rPr>
          <w:rFonts w:ascii="仿宋_GB2312" w:eastAsia="仿宋_GB2312" w:hAnsi="仿宋_GB2312" w:cs="仿宋_GB2312" w:hint="eastAsia"/>
          <w:bCs/>
          <w:color w:val="000000"/>
          <w:sz w:val="32"/>
          <w:szCs w:val="32"/>
        </w:rPr>
        <w:t>切实提高困难群众基本生活保障水平，</w:t>
      </w:r>
      <w:r>
        <w:rPr>
          <w:rFonts w:ascii="仿宋_GB2312" w:eastAsia="仿宋_GB2312" w:hAnsi="仿宋_GB2312" w:cs="仿宋_GB2312" w:hint="eastAsia"/>
          <w:color w:val="000000"/>
          <w:sz w:val="32"/>
          <w:szCs w:val="32"/>
        </w:rPr>
        <w:t>完善低保标准与物价上涨挂钩的联动机制，探索将城乡低保审批权限下放至乡镇（街道），规范实施特困人员救助供养制度，推进城乡特困人员协议化管理，</w:t>
      </w:r>
      <w:r>
        <w:rPr>
          <w:rFonts w:ascii="仿宋_GB2312" w:eastAsia="仿宋_GB2312" w:hAnsi="仿宋" w:cs="仿宋" w:hint="eastAsia"/>
          <w:color w:val="000000" w:themeColor="text1"/>
          <w:sz w:val="32"/>
          <w:szCs w:val="32"/>
        </w:rPr>
        <w:t>下放乡镇（街道）临时救助审批权限，全面建立乡镇（街道）备用金制度。</w:t>
      </w:r>
      <w:r>
        <w:rPr>
          <w:rFonts w:ascii="仿宋_GB2312" w:eastAsia="仿宋_GB2312" w:hAnsi="仿宋_GB2312" w:cs="仿宋_GB2312" w:hint="eastAsia"/>
          <w:sz w:val="32"/>
          <w:szCs w:val="32"/>
        </w:rPr>
        <w:t>健全退役军人工作体系和保障制度，做好退役军人安置、困难退役军人救助。完善农村留守儿童和妇女、老年人、残疾人关爱服务体系建设，</w:t>
      </w:r>
      <w:r>
        <w:rPr>
          <w:rFonts w:ascii="仿宋" w:eastAsia="仿宋" w:hAnsi="仿宋" w:hint="eastAsia"/>
          <w:sz w:val="32"/>
          <w:szCs w:val="32"/>
        </w:rPr>
        <w:t>成立高标准妇女儿童互动中心</w:t>
      </w:r>
      <w:r>
        <w:rPr>
          <w:rFonts w:ascii="仿宋_GB2312" w:eastAsia="仿宋_GB2312" w:hAnsi="仿宋_GB2312" w:cs="仿宋_GB2312" w:hint="eastAsia"/>
          <w:sz w:val="32"/>
          <w:szCs w:val="32"/>
        </w:rPr>
        <w:t>，</w:t>
      </w:r>
      <w:r>
        <w:rPr>
          <w:rFonts w:ascii="仿宋_GB2312" w:eastAsia="仿宋_GB2312" w:hAnsi="仿宋" w:hint="eastAsia"/>
          <w:sz w:val="32"/>
          <w:szCs w:val="32"/>
        </w:rPr>
        <w:t>建立未成年人救助保护中心，</w:t>
      </w:r>
      <w:r>
        <w:rPr>
          <w:rFonts w:ascii="仿宋_GB2312" w:eastAsia="仿宋_GB2312" w:hAnsi="仿宋_GB2312" w:cs="仿宋_GB2312" w:hint="eastAsia"/>
          <w:sz w:val="32"/>
          <w:szCs w:val="32"/>
        </w:rPr>
        <w:t>建立独居、空巢、留守、特困、高龄、失能、重残和</w:t>
      </w:r>
      <w:r>
        <w:rPr>
          <w:rFonts w:ascii="仿宋_GB2312" w:eastAsia="仿宋_GB2312" w:hAnsi="仿宋_GB2312" w:cs="仿宋_GB2312" w:hint="eastAsia"/>
          <w:sz w:val="32"/>
          <w:szCs w:val="32"/>
        </w:rPr>
        <w:lastRenderedPageBreak/>
        <w:t>计划生育特殊家庭老年人电子台账，推动最低生活保障、残疾人救助等相关标准与长春市统一。</w:t>
      </w:r>
    </w:p>
    <w:p w14:paraId="78992761"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17" w:name="_Toc5362"/>
      <w:r w:rsidRPr="005717BE">
        <w:rPr>
          <w:rFonts w:ascii="楷体_GB2312" w:eastAsia="楷体_GB2312" w:hAnsi="楷体_GB2312" w:cs="楷体_GB2312" w:hint="eastAsia"/>
          <w:b/>
          <w:bCs/>
          <w:sz w:val="32"/>
          <w:szCs w:val="32"/>
        </w:rPr>
        <w:t>第三节 完善医疗健康和公共卫生体系</w:t>
      </w:r>
      <w:bookmarkEnd w:id="117"/>
    </w:p>
    <w:p w14:paraId="26889B0B" w14:textId="77777777" w:rsidR="00501569" w:rsidRDefault="00C74794">
      <w:pPr>
        <w:ind w:firstLineChars="200" w:firstLine="640"/>
        <w:rPr>
          <w:rFonts w:ascii="仿宋_GB2312" w:eastAsia="仿宋_GB2312" w:hAnsi="仿宋_GB2312"/>
          <w:bCs/>
          <w:color w:val="000000"/>
          <w:sz w:val="32"/>
          <w:szCs w:val="32"/>
        </w:rPr>
      </w:pPr>
      <w:r>
        <w:rPr>
          <w:rFonts w:ascii="仿宋_GB2312" w:eastAsia="仿宋_GB2312" w:hAnsi="仿宋_GB2312" w:cs="仿宋" w:hint="eastAsia"/>
          <w:sz w:val="32"/>
          <w:szCs w:val="32"/>
        </w:rPr>
        <w:t>落实健康中国行动，</w:t>
      </w:r>
      <w:r>
        <w:rPr>
          <w:rFonts w:ascii="仿宋_GB2312" w:eastAsia="仿宋_GB2312" w:hAnsi="仿宋_GB2312" w:hint="eastAsia"/>
          <w:bCs/>
          <w:color w:val="000000"/>
          <w:sz w:val="32"/>
          <w:szCs w:val="32"/>
        </w:rPr>
        <w:t>大力倡导预防为主的健康理念，稳步提高全民健康水平，推动从“以治病为中心”向“以健康为中心”转变。</w:t>
      </w:r>
    </w:p>
    <w:p w14:paraId="61B0B090"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 w:cs="仿宋" w:hint="eastAsia"/>
          <w:b/>
          <w:bCs/>
          <w:sz w:val="32"/>
          <w:szCs w:val="32"/>
        </w:rPr>
        <w:t>完善医疗卫生制度。</w:t>
      </w:r>
      <w:r>
        <w:rPr>
          <w:rFonts w:ascii="仿宋_GB2312" w:eastAsia="仿宋_GB2312" w:hAnsi="仿宋_GB2312" w:cs="仿宋_GB2312" w:hint="eastAsia"/>
          <w:sz w:val="32"/>
          <w:szCs w:val="32"/>
        </w:rPr>
        <w:t>健全覆盖城乡居民的基本医疗卫生制度，</w:t>
      </w:r>
      <w:r w:rsidR="00DC2CFF">
        <w:rPr>
          <w:rFonts w:ascii="仿宋_GB2312" w:eastAsia="仿宋_GB2312" w:hAnsi="仿宋_GB2312" w:cs="仿宋_GB2312" w:hint="eastAsia"/>
          <w:sz w:val="32"/>
          <w:szCs w:val="32"/>
        </w:rPr>
        <w:t>加大</w:t>
      </w:r>
      <w:r>
        <w:rPr>
          <w:rFonts w:ascii="仿宋_GB2312" w:eastAsia="仿宋_GB2312" w:hAnsi="仿宋_GB2312" w:cs="仿宋_GB2312" w:hint="eastAsia"/>
          <w:sz w:val="32"/>
          <w:szCs w:val="32"/>
        </w:rPr>
        <w:t>基本药物制度实施</w:t>
      </w:r>
      <w:r w:rsidR="00DC2CFF">
        <w:rPr>
          <w:rFonts w:ascii="仿宋_GB2312" w:eastAsia="仿宋_GB2312" w:hAnsi="仿宋_GB2312" w:cs="仿宋_GB2312" w:hint="eastAsia"/>
          <w:sz w:val="32"/>
          <w:szCs w:val="32"/>
        </w:rPr>
        <w:t>力度</w:t>
      </w:r>
      <w:r>
        <w:rPr>
          <w:rFonts w:ascii="仿宋_GB2312" w:eastAsia="仿宋_GB2312" w:hAnsi="仿宋_GB2312" w:cs="仿宋_GB2312" w:hint="eastAsia"/>
          <w:sz w:val="32"/>
          <w:szCs w:val="32"/>
        </w:rPr>
        <w:t>，保证足量供应和合理使用。</w:t>
      </w:r>
      <w:r>
        <w:rPr>
          <w:rFonts w:ascii="仿宋_GB2312" w:eastAsia="仿宋_GB2312" w:hAnsi="仿宋_GB2312" w:cs="仿宋_GB2312" w:hint="eastAsia"/>
          <w:bCs/>
          <w:sz w:val="32"/>
          <w:szCs w:val="32"/>
        </w:rPr>
        <w:t>健全分级诊疗制度，</w:t>
      </w:r>
      <w:r>
        <w:rPr>
          <w:rFonts w:ascii="仿宋_GB2312" w:eastAsia="仿宋_GB2312" w:hAnsi="仿宋_GB2312" w:cs="仿宋_GB2312" w:hint="eastAsia"/>
          <w:kern w:val="0"/>
          <w:sz w:val="32"/>
          <w:szCs w:val="32"/>
          <w:lang w:val="zh-TW" w:eastAsia="zh-TW"/>
        </w:rPr>
        <w:t>着力解决</w:t>
      </w:r>
      <w:r>
        <w:rPr>
          <w:rFonts w:ascii="仿宋_GB2312" w:eastAsia="仿宋_GB2312" w:hAnsi="仿宋_GB2312" w:cs="仿宋_GB2312" w:hint="eastAsia"/>
          <w:kern w:val="0"/>
          <w:sz w:val="32"/>
          <w:szCs w:val="32"/>
          <w:lang w:val="zh-TW"/>
        </w:rPr>
        <w:t>百姓看病难点、堵点问题。</w:t>
      </w:r>
      <w:r>
        <w:rPr>
          <w:rFonts w:ascii="仿宋_GB2312" w:eastAsia="仿宋_GB2312" w:hAnsi="仿宋_GB2312" w:cs="仿宋_GB2312" w:hint="eastAsia"/>
          <w:sz w:val="32"/>
          <w:szCs w:val="32"/>
        </w:rPr>
        <w:t>加强医联体建设，鼓励优质医疗资源下沉。推动中医药传承发展，发展中医养生保健治未病服务</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建立和完善基本生育免费服务制度，完善3岁以下婴幼儿照护服务保障制度。</w:t>
      </w:r>
      <w:r>
        <w:rPr>
          <w:rFonts w:ascii="仿宋_GB2312" w:eastAsia="仿宋_GB2312" w:hAnsi="仿宋_GB2312" w:cs="仿宋_GB2312" w:hint="eastAsia"/>
          <w:bCs/>
          <w:sz w:val="32"/>
          <w:szCs w:val="32"/>
        </w:rPr>
        <w:t>着力提高妇幼健康水平，实施母婴安全计划。</w:t>
      </w:r>
      <w:r>
        <w:rPr>
          <w:rFonts w:ascii="仿宋_GB2312" w:eastAsia="仿宋_GB2312" w:hAnsi="仿宋_GB2312" w:cs="Times New Roman" w:hint="eastAsia"/>
          <w:bCs/>
          <w:color w:val="000000"/>
          <w:sz w:val="32"/>
          <w:szCs w:val="32"/>
        </w:rPr>
        <w:t>发展远程医疗，深化“互联网+医疗健康”</w:t>
      </w:r>
      <w:r>
        <w:rPr>
          <w:rFonts w:ascii="仿宋_GB2312" w:eastAsia="仿宋_GB2312" w:hAnsi="仿宋_GB2312" w:cs="仿宋_GB2312" w:hint="eastAsia"/>
          <w:bCs/>
          <w:color w:val="000000"/>
          <w:sz w:val="32"/>
          <w:szCs w:val="32"/>
        </w:rPr>
        <w:t>惠民应用服务，促进基本公共卫生服务均等化。</w:t>
      </w:r>
    </w:p>
    <w:p w14:paraId="52726DA9" w14:textId="77777777" w:rsidR="00501569" w:rsidRDefault="00C74794">
      <w:pPr>
        <w:pStyle w:val="Default"/>
        <w:ind w:firstLineChars="200" w:firstLine="643"/>
        <w:rPr>
          <w:rFonts w:cs="仿宋_GB2312"/>
          <w:sz w:val="32"/>
          <w:szCs w:val="32"/>
        </w:rPr>
      </w:pPr>
      <w:r>
        <w:rPr>
          <w:rFonts w:cs="仿宋_GB2312" w:hint="eastAsia"/>
          <w:b/>
          <w:bCs/>
          <w:sz w:val="32"/>
          <w:szCs w:val="32"/>
        </w:rPr>
        <w:t>加强公共卫生服务体系建设。</w:t>
      </w:r>
      <w:r>
        <w:rPr>
          <w:rFonts w:cs="仿宋_GB2312" w:hint="eastAsia"/>
          <w:sz w:val="32"/>
          <w:szCs w:val="32"/>
        </w:rPr>
        <w:t>完善农村初级卫生保健体系、城市基本公共卫生服务体系和财政经费保障体系，满足城乡居民的基本卫生服务需求，不断提高广大人民群众健康水平。完善公共卫生事业投入机制，推进公主岭市</w:t>
      </w:r>
      <w:r w:rsidR="00DC2CFF">
        <w:rPr>
          <w:rFonts w:cs="仿宋_GB2312" w:hint="eastAsia"/>
          <w:sz w:val="32"/>
          <w:szCs w:val="32"/>
        </w:rPr>
        <w:t>中心</w:t>
      </w:r>
      <w:r>
        <w:rPr>
          <w:rFonts w:cs="仿宋_GB2312" w:hint="eastAsia"/>
          <w:sz w:val="32"/>
          <w:szCs w:val="32"/>
        </w:rPr>
        <w:t>医院、传染病医院和中心血站建设。提升急性传染病防控处置能力，加强现场流行病学调查和对地区性传染病疾病谱的日常监管监测，强化村屯、社区管理和防控。开</w:t>
      </w:r>
      <w:r>
        <w:rPr>
          <w:rFonts w:cs="仿宋_GB2312" w:hint="eastAsia"/>
          <w:sz w:val="32"/>
          <w:szCs w:val="32"/>
        </w:rPr>
        <w:lastRenderedPageBreak/>
        <w:t>展爱国卫生运动，加强公共卫生队伍建设和基层防控能力建设。推进殡葬改革，实行六项基本殡葬费用逐步免除政策。</w:t>
      </w:r>
    </w:p>
    <w:p w14:paraId="0AE5D513" w14:textId="77777777" w:rsidR="00501569" w:rsidRPr="005717BE"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18" w:name="_Toc17681"/>
      <w:r w:rsidRPr="005717BE">
        <w:rPr>
          <w:rFonts w:ascii="楷体_GB2312" w:eastAsia="楷体_GB2312" w:hAnsi="楷体_GB2312" w:cs="楷体_GB2312" w:hint="eastAsia"/>
          <w:b/>
          <w:bCs/>
          <w:sz w:val="32"/>
          <w:szCs w:val="32"/>
        </w:rPr>
        <w:t>第四节 积极应对人口老龄化</w:t>
      </w:r>
      <w:bookmarkEnd w:id="118"/>
    </w:p>
    <w:p w14:paraId="2E2BE3DD" w14:textId="77777777" w:rsidR="00501569" w:rsidRDefault="00C74794">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sz w:val="32"/>
          <w:szCs w:val="32"/>
        </w:rPr>
        <w:t>健全养老服务体系，</w:t>
      </w:r>
      <w:r>
        <w:rPr>
          <w:rFonts w:ascii="仿宋_GB2312" w:eastAsia="仿宋_GB2312" w:hAnsi="仿宋_GB2312" w:cs="仿宋_GB2312" w:hint="eastAsia"/>
          <w:color w:val="000000"/>
          <w:sz w:val="32"/>
          <w:szCs w:val="32"/>
        </w:rPr>
        <w:t>坚持个性化服务与多样化服务相结合，以社区日间照料中心和上门服务为主要方式，按照就近就便、小型多样、功能配套的要求，建设和改造日间照料室、老年人活动场所等社区养老服务设施，持续推进农村养老服务大院建设。放开养老服务市场，鼓励</w:t>
      </w:r>
      <w:r>
        <w:rPr>
          <w:rFonts w:ascii="仿宋_GB2312" w:eastAsia="仿宋_GB2312" w:hAnsi="仿宋_GB2312" w:cs="仿宋_GB2312" w:hint="eastAsia"/>
          <w:color w:val="000000"/>
          <w:kern w:val="0"/>
          <w:sz w:val="32"/>
          <w:szCs w:val="32"/>
        </w:rPr>
        <w:t>采取政府购买服务、专业养老机构、社会组织和志愿者服务相结合的服务方式，提供多样化养老服务</w:t>
      </w:r>
      <w:r>
        <w:rPr>
          <w:rFonts w:ascii="仿宋_GB2312" w:eastAsia="仿宋_GB2312" w:hAnsi="仿宋_GB2312" w:cs="仿宋_GB2312" w:hint="eastAsia"/>
          <w:color w:val="000000"/>
          <w:sz w:val="32"/>
          <w:szCs w:val="32"/>
        </w:rPr>
        <w:t>，优先解决最迫切的孤老优抚对象、城乡特困老人及失能、半失能老年人、空巢老年人的照料和护理问题，到2025年，全市城乡居家养老服务中心覆盖率达到50%，农村养老服务大院覆盖率达到100%。推进养老服务信息化，依托城市社区服务信息载体，普遍建立智慧健康养老云平台和老年人数字网络服务系统、养老服务热线、紧急救援系统</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sz w:val="32"/>
          <w:szCs w:val="32"/>
        </w:rPr>
        <w:t>鼓励优生优育，</w:t>
      </w:r>
      <w:r>
        <w:rPr>
          <w:rFonts w:ascii="仿宋_GB2312" w:eastAsia="仿宋_GB2312" w:hAnsi="仿宋_GB2312" w:cs="仿宋_GB2312" w:hint="eastAsia"/>
          <w:kern w:val="0"/>
          <w:sz w:val="32"/>
          <w:szCs w:val="32"/>
        </w:rPr>
        <w:t>落实国家人口长期发展战略，推进生育全程医疗保健，降低生育成本。发展普惠性托育服务体系，支持社区托育服务设施建设，增加0—3岁婴幼儿照护为重点托育服务供给，加强婴幼儿照护专业人才培养培训。</w:t>
      </w:r>
    </w:p>
    <w:p w14:paraId="64D16455" w14:textId="77777777" w:rsidR="00501569" w:rsidRPr="005717BE" w:rsidRDefault="00C74794" w:rsidP="0045498C">
      <w:pPr>
        <w:adjustRightInd w:val="0"/>
        <w:snapToGrid w:val="0"/>
        <w:spacing w:before="156" w:after="156" w:line="576" w:lineRule="exact"/>
        <w:ind w:firstLineChars="200" w:firstLine="643"/>
        <w:jc w:val="center"/>
        <w:outlineLvl w:val="1"/>
        <w:rPr>
          <w:rFonts w:ascii="楷体_GB2312" w:eastAsia="楷体_GB2312" w:hAnsi="楷体_GB2312" w:cs="楷体_GB2312"/>
          <w:b/>
          <w:bCs/>
          <w:sz w:val="32"/>
          <w:szCs w:val="32"/>
        </w:rPr>
      </w:pPr>
      <w:bookmarkStart w:id="119" w:name="_Toc22832"/>
      <w:r w:rsidRPr="005717BE">
        <w:rPr>
          <w:rFonts w:ascii="楷体_GB2312" w:eastAsia="楷体_GB2312" w:hAnsi="楷体_GB2312" w:cs="楷体_GB2312" w:hint="eastAsia"/>
          <w:b/>
          <w:bCs/>
          <w:sz w:val="32"/>
          <w:szCs w:val="32"/>
        </w:rPr>
        <w:t>第五节 推进教育现代化</w:t>
      </w:r>
      <w:bookmarkEnd w:id="119"/>
    </w:p>
    <w:p w14:paraId="500302EB" w14:textId="77777777" w:rsidR="00501569" w:rsidRDefault="00C74794">
      <w:pPr>
        <w:ind w:firstLine="648"/>
        <w:rPr>
          <w:rFonts w:ascii="仿宋_GB2312" w:eastAsia="仿宋_GB2312" w:hAnsi="仿宋_GB2312"/>
          <w:bCs/>
          <w:color w:val="000000"/>
          <w:sz w:val="32"/>
          <w:szCs w:val="32"/>
        </w:rPr>
      </w:pPr>
      <w:r>
        <w:rPr>
          <w:rFonts w:ascii="仿宋_GB2312" w:eastAsia="仿宋_GB2312" w:hAnsi="仿宋_GB2312" w:hint="eastAsia"/>
          <w:bCs/>
          <w:color w:val="000000"/>
          <w:sz w:val="32"/>
          <w:szCs w:val="32"/>
        </w:rPr>
        <w:lastRenderedPageBreak/>
        <w:t>优化教育资源配置，统筹推进各类教育均等、公平、协调发展，不断缩小区域、城乡、校际间差距，推动各级各类教育高质量发展。</w:t>
      </w:r>
    </w:p>
    <w:p w14:paraId="1E93DCBF" w14:textId="77777777" w:rsidR="00501569" w:rsidRDefault="00C74794">
      <w:pPr>
        <w:ind w:firstLine="648"/>
        <w:rPr>
          <w:rFonts w:ascii="仿宋_GB2312" w:eastAsia="仿宋_GB2312"/>
          <w:sz w:val="32"/>
          <w:szCs w:val="32"/>
        </w:rPr>
      </w:pPr>
      <w:r>
        <w:rPr>
          <w:rFonts w:ascii="仿宋_GB2312" w:eastAsia="仿宋_GB2312" w:hint="eastAsia"/>
          <w:b/>
          <w:bCs/>
          <w:sz w:val="32"/>
          <w:szCs w:val="32"/>
        </w:rPr>
        <w:t>落实立德树人根本任务。</w:t>
      </w:r>
      <w:r>
        <w:rPr>
          <w:rFonts w:ascii="仿宋_GB2312" w:eastAsia="仿宋_GB2312" w:hint="eastAsia"/>
          <w:sz w:val="32"/>
          <w:szCs w:val="32"/>
        </w:rPr>
        <w:t>全面贯彻党的教育方针，把立德树人融入思想道德教育、文化知识教育、社会实践教育各环节，贯穿基础教育、职业教育、高等教育各领域。加强师德师风建设制度体系，构建德智体美劳全面培养的教育体系。完善终身学习体系</w:t>
      </w:r>
      <w:r>
        <w:rPr>
          <w:rFonts w:eastAsia="仿宋_GB2312" w:hint="eastAsia"/>
          <w:sz w:val="32"/>
          <w:szCs w:val="32"/>
        </w:rPr>
        <w:t>，建设学习型社会。</w:t>
      </w:r>
    </w:p>
    <w:p w14:paraId="29884A07"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color w:val="000000"/>
          <w:sz w:val="32"/>
          <w:szCs w:val="32"/>
        </w:rPr>
        <w:t>推动城乡教育均衡发展。</w:t>
      </w:r>
      <w:r>
        <w:rPr>
          <w:rFonts w:ascii="仿宋_GB2312" w:eastAsia="仿宋_GB2312" w:hAnsi="仿宋_GB2312" w:cs="仿宋_GB2312" w:hint="eastAsia"/>
          <w:sz w:val="32"/>
          <w:szCs w:val="32"/>
        </w:rPr>
        <w:t>加快发展学前教育，完善学前教育管理体制、办园体制和政策保障体系，推动普惠性幼儿园建设，到2025年，学前三年毛入园率达到95%，幼儿园普惠率达到85%。巩固提升基础教育，</w:t>
      </w:r>
      <w:r>
        <w:rPr>
          <w:rFonts w:ascii="仿宋_GB2312" w:eastAsia="仿宋_GB2312" w:hAnsi="仿宋_GB2312" w:cs="仿宋_GB2312" w:hint="eastAsia"/>
          <w:color w:val="000000"/>
          <w:sz w:val="32"/>
          <w:szCs w:val="32"/>
        </w:rPr>
        <w:t>优化教育资源配置，</w:t>
      </w:r>
      <w:r>
        <w:rPr>
          <w:rFonts w:ascii="仿宋_GB2312" w:eastAsia="仿宋_GB2312" w:hAnsi="仿宋_GB2312" w:cs="仿宋_GB2312" w:hint="eastAsia"/>
          <w:sz w:val="32"/>
          <w:szCs w:val="32"/>
        </w:rPr>
        <w:t>加强公办校管理，规范民办校行为，</w:t>
      </w:r>
      <w:r>
        <w:rPr>
          <w:rFonts w:ascii="仿宋_GB2312" w:eastAsia="仿宋_GB2312" w:hAnsi="仿宋_GB2312" w:cs="仿宋_GB2312" w:hint="eastAsia"/>
          <w:color w:val="000000"/>
          <w:sz w:val="32"/>
          <w:szCs w:val="32"/>
        </w:rPr>
        <w:t>推动解决“大班额”问题，</w:t>
      </w:r>
      <w:r>
        <w:rPr>
          <w:rFonts w:eastAsia="仿宋_GB2312" w:hint="eastAsia"/>
          <w:bCs/>
          <w:sz w:val="32"/>
          <w:szCs w:val="32"/>
        </w:rPr>
        <w:t>巩固</w:t>
      </w:r>
      <w:r>
        <w:rPr>
          <w:rFonts w:ascii="仿宋_GB2312" w:eastAsia="仿宋_GB2312" w:hAnsi="仿宋_GB2312" w:hint="eastAsia"/>
          <w:bCs/>
          <w:sz w:val="32"/>
          <w:szCs w:val="32"/>
        </w:rPr>
        <w:t>提升小学适龄儿童和初中适龄少年入学率。</w:t>
      </w:r>
      <w:r>
        <w:rPr>
          <w:rFonts w:ascii="仿宋_GB2312" w:eastAsia="仿宋_GB2312" w:hAnsi="仿宋_GB2312" w:hint="eastAsia"/>
          <w:bCs/>
          <w:color w:val="000000"/>
          <w:sz w:val="32"/>
          <w:szCs w:val="32"/>
        </w:rPr>
        <w:t>保障进城务工人员随迁子女、留守儿童、残疾儿童少年等特殊群体受教育权利。</w:t>
      </w:r>
      <w:r>
        <w:rPr>
          <w:rFonts w:ascii="仿宋_GB2312" w:eastAsia="仿宋_GB2312" w:hAnsi="仿宋_GB2312" w:cs="仿宋_GB2312" w:hint="eastAsia"/>
          <w:sz w:val="32"/>
          <w:szCs w:val="32"/>
        </w:rPr>
        <w:t>提升普通高中办学质量和职业高中办学能力，到2025年，高中段教育实现职普在校生比例大体相当。推动与长春市开展跨区域教研合作，促进优质基础教育资源同城共享。</w:t>
      </w:r>
      <w:r>
        <w:rPr>
          <w:rFonts w:ascii="仿宋_GB2312" w:eastAsia="仿宋_GB2312" w:hAnsi="仿宋_GB2312" w:hint="eastAsia"/>
          <w:bCs/>
          <w:color w:val="000000"/>
          <w:sz w:val="32"/>
          <w:szCs w:val="32"/>
        </w:rPr>
        <w:t>加大对农村教育政策倾斜和资金投入力度，鼓励优秀教师和大学生到农村轮岗支教。大力发展职业教育，深化产教融合，</w:t>
      </w:r>
      <w:r>
        <w:rPr>
          <w:rFonts w:ascii="仿宋_GB2312" w:eastAsia="仿宋_GB2312" w:hAnsi="仿宋_GB2312" w:cs="仿宋_GB2312" w:hint="eastAsia"/>
          <w:sz w:val="32"/>
          <w:szCs w:val="32"/>
        </w:rPr>
        <w:t>吸引优秀高职院校入驻，建设职工社区、实践基地等，建设人才大厦，打造“蓝领基地”。完善网络和人工智能与教</w:t>
      </w:r>
      <w:r>
        <w:rPr>
          <w:rFonts w:ascii="仿宋_GB2312" w:eastAsia="仿宋_GB2312" w:hAnsi="仿宋_GB2312" w:cs="仿宋_GB2312" w:hint="eastAsia"/>
          <w:sz w:val="32"/>
          <w:szCs w:val="32"/>
        </w:rPr>
        <w:lastRenderedPageBreak/>
        <w:t>育融合发展机制，创新教育和学习方式，实现规模化教育与个性化培养的有机结合。深化教育体制改革，</w:t>
      </w:r>
      <w:r>
        <w:rPr>
          <w:rFonts w:ascii="仿宋_GB2312" w:eastAsia="仿宋_GB2312" w:hAnsi="仿宋_GB2312" w:hint="eastAsia"/>
          <w:bCs/>
          <w:color w:val="000000"/>
          <w:sz w:val="32"/>
          <w:szCs w:val="32"/>
        </w:rPr>
        <w:t>稳妥推进民办学校非营利性和营利性分类管理改革，实施差别化扶持政策。创新和规范中小学教师编制配备，逐步实行义务教育教师“县管校聘”。</w:t>
      </w:r>
    </w:p>
    <w:p w14:paraId="6C8CC2AF" w14:textId="77777777" w:rsidR="00501569" w:rsidRPr="005717BE" w:rsidRDefault="00C74794" w:rsidP="0045498C">
      <w:pPr>
        <w:adjustRightInd w:val="0"/>
        <w:spacing w:beforeLines="50" w:before="156" w:afterLines="50" w:after="156"/>
        <w:jc w:val="center"/>
        <w:outlineLvl w:val="1"/>
        <w:rPr>
          <w:rFonts w:ascii="楷体_GB2312" w:eastAsia="楷体_GB2312" w:hAnsi="楷体_GB2312" w:cs="楷体_GB2312"/>
          <w:b/>
          <w:bCs/>
          <w:sz w:val="32"/>
          <w:szCs w:val="32"/>
        </w:rPr>
      </w:pPr>
      <w:bookmarkStart w:id="120" w:name="_Toc1356"/>
      <w:r w:rsidRPr="005717BE">
        <w:rPr>
          <w:rFonts w:ascii="楷体_GB2312" w:eastAsia="楷体_GB2312" w:hAnsi="楷体_GB2312" w:cs="楷体_GB2312" w:hint="eastAsia"/>
          <w:b/>
          <w:bCs/>
          <w:sz w:val="32"/>
          <w:szCs w:val="32"/>
        </w:rPr>
        <w:t>第六节 推进体育事业发展</w:t>
      </w:r>
      <w:bookmarkEnd w:id="120"/>
    </w:p>
    <w:p w14:paraId="6F15B31A" w14:textId="77777777" w:rsidR="00501569" w:rsidRDefault="00C74794" w:rsidP="0045498C">
      <w:pPr>
        <w:spacing w:afterLines="50" w:after="156"/>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快城乡公共体育设施建设，形成覆盖全市、乡镇（街道）、行政村（社区）三级体育健身场地设施网络体系，推进市区实现全民健身中心、综合体育场、综合体育馆、游泳馆（池）、体育公园（或健身广场）“五个一”工程全覆盖。</w:t>
      </w:r>
      <w:r>
        <w:rPr>
          <w:rFonts w:ascii="仿宋_GB2312" w:eastAsia="仿宋_GB2312" w:hAnsi="仿宋_GB2312" w:cs="仿宋_GB2312" w:hint="eastAsia"/>
          <w:kern w:val="0"/>
          <w:sz w:val="32"/>
          <w:szCs w:val="32"/>
        </w:rPr>
        <w:t>打造完善居民现代生活需要的“15分钟健身圈”，有序推进公共体育设施免费向社会开放。</w:t>
      </w:r>
      <w:r>
        <w:rPr>
          <w:rFonts w:ascii="仿宋_GB2312" w:eastAsia="仿宋_GB2312" w:hAnsi="仿宋_GB2312" w:cs="仿宋_GB2312" w:hint="eastAsia"/>
          <w:sz w:val="32"/>
          <w:szCs w:val="32"/>
        </w:rPr>
        <w:t>深入实施全民健身计划，以“全民健身日”、传统节假日、农闲季节等为契机，广泛组织开展形式多样、便于群众参与的全民健身活动，</w:t>
      </w:r>
      <w:r>
        <w:rPr>
          <w:rFonts w:ascii="仿宋_GB2312" w:eastAsia="仿宋_GB2312" w:hAnsi="仿宋_GB2312" w:cs="仿宋_GB2312" w:hint="eastAsia"/>
          <w:kern w:val="0"/>
          <w:sz w:val="32"/>
          <w:szCs w:val="32"/>
        </w:rPr>
        <w:t>实现体育健身全覆盖。大力发展冰雪体育运动，</w:t>
      </w:r>
      <w:r>
        <w:rPr>
          <w:rFonts w:ascii="仿宋_GB2312" w:eastAsia="仿宋_GB2312" w:hAnsi="仿宋_GB2312" w:cs="仿宋_GB2312" w:hint="eastAsia"/>
          <w:sz w:val="32"/>
          <w:szCs w:val="32"/>
        </w:rPr>
        <w:t>以</w:t>
      </w:r>
      <w:r>
        <w:rPr>
          <w:rFonts w:ascii="仿宋_GB2312" w:eastAsia="仿宋_GB2312" w:hAnsi="仿宋_GB2312" w:cs="仿宋_GB2312" w:hint="eastAsia"/>
          <w:kern w:val="0"/>
          <w:sz w:val="32"/>
          <w:szCs w:val="32"/>
        </w:rPr>
        <w:t>2022年北京冬奥会为契机，推进冰雪进校园、社区、机关、家庭、进企业等。</w:t>
      </w:r>
      <w:r>
        <w:rPr>
          <w:rFonts w:ascii="仿宋_GB2312" w:eastAsia="仿宋_GB2312" w:hAnsi="仿宋_GB2312" w:cs="仿宋_GB2312" w:hint="eastAsia"/>
          <w:sz w:val="32"/>
          <w:szCs w:val="32"/>
        </w:rPr>
        <w:t>着力打造和提升以老年人健身展示、乒乓球、武术、广场舞、自行车、户外活动为传统的特色品牌活动。加强体育指导员队伍建设，培养教练员队伍和优秀后备体育人才，全面提升竞技体育实力和水平。</w:t>
      </w:r>
    </w:p>
    <w:tbl>
      <w:tblPr>
        <w:tblW w:w="8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9"/>
      </w:tblGrid>
      <w:tr w:rsidR="00501569" w14:paraId="6518E278" w14:textId="77777777">
        <w:tc>
          <w:tcPr>
            <w:tcW w:w="8429" w:type="dxa"/>
          </w:tcPr>
          <w:p w14:paraId="2E84CC48" w14:textId="77777777" w:rsidR="00501569" w:rsidRDefault="00C74794">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专栏1</w:t>
            </w:r>
            <w:r>
              <w:rPr>
                <w:rFonts w:ascii="楷体_GB2312" w:eastAsia="楷体_GB2312" w:hAnsi="楷体_GB2312" w:cs="楷体_GB2312"/>
                <w:b/>
                <w:bCs/>
                <w:sz w:val="32"/>
                <w:szCs w:val="32"/>
              </w:rPr>
              <w:t>5</w:t>
            </w:r>
            <w:r>
              <w:rPr>
                <w:rFonts w:ascii="楷体_GB2312" w:eastAsia="楷体_GB2312" w:hAnsi="楷体_GB2312" w:cs="楷体_GB2312" w:hint="eastAsia"/>
                <w:b/>
                <w:bCs/>
                <w:sz w:val="32"/>
                <w:szCs w:val="32"/>
              </w:rPr>
              <w:t>：社会事业重大项目</w:t>
            </w:r>
          </w:p>
          <w:p w14:paraId="379DA5EC"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bCs/>
              </w:rPr>
              <w:lastRenderedPageBreak/>
              <w:t>教育：</w:t>
            </w:r>
            <w:r>
              <w:rPr>
                <w:rFonts w:ascii="宋体" w:eastAsia="宋体" w:hAnsi="宋体" w:hint="eastAsia"/>
              </w:rPr>
              <w:t>推进建设公主岭市第六中学校新校园、校舍维修改造，公主岭市站前小学校新校园、校舍维修改造，范家屯镇幼儿园、岭西新城幼儿园、杨大城子镇第一中学校等项目。</w:t>
            </w:r>
          </w:p>
          <w:p w14:paraId="35F31851"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bCs/>
              </w:rPr>
              <w:t>医疗卫生：</w:t>
            </w:r>
            <w:r>
              <w:rPr>
                <w:rFonts w:ascii="宋体" w:eastAsia="宋体" w:hAnsi="宋体" w:hint="eastAsia"/>
              </w:rPr>
              <w:t>推进建设公主岭市中医院异地新建扩建、中心医院异地新建、传染病医院异地新建、急救中心及应急医疗物资储备库新建、中心血站异地新建、卫生服务中心建设等项目。</w:t>
            </w:r>
          </w:p>
          <w:p w14:paraId="49F89D23"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bCs/>
              </w:rPr>
              <w:t>民政：</w:t>
            </w:r>
            <w:r>
              <w:rPr>
                <w:rFonts w:ascii="宋体" w:eastAsia="宋体" w:hAnsi="宋体" w:hint="eastAsia"/>
              </w:rPr>
              <w:t>推进建设第一社会福利服务中心公寓楼、公主岭市殡仪馆火化间等殡葬设施改扩建、公主岭市殡仪馆公益性骨灰安放设施等项目。</w:t>
            </w:r>
          </w:p>
          <w:p w14:paraId="61B12D04" w14:textId="77777777" w:rsidR="00501569" w:rsidRDefault="00C74794">
            <w:pPr>
              <w:adjustRightInd w:val="0"/>
              <w:snapToGrid w:val="0"/>
              <w:spacing w:line="360" w:lineRule="auto"/>
              <w:ind w:firstLineChars="200" w:firstLine="422"/>
              <w:rPr>
                <w:rFonts w:ascii="宋体" w:eastAsia="宋体" w:hAnsi="宋体"/>
              </w:rPr>
            </w:pPr>
            <w:r>
              <w:rPr>
                <w:rFonts w:ascii="宋体" w:eastAsia="宋体" w:hAnsi="宋体" w:hint="eastAsia"/>
                <w:b/>
                <w:bCs/>
              </w:rPr>
              <w:t>体育：</w:t>
            </w:r>
            <w:r>
              <w:rPr>
                <w:rFonts w:ascii="宋体" w:eastAsia="宋体" w:hAnsi="宋体" w:hint="eastAsia"/>
              </w:rPr>
              <w:t>推进建设公主岭游泳馆、新三馆等项目。</w:t>
            </w:r>
          </w:p>
        </w:tc>
      </w:tr>
    </w:tbl>
    <w:p w14:paraId="06B504A4" w14:textId="77777777" w:rsidR="00501569" w:rsidRDefault="00C74794" w:rsidP="0045498C">
      <w:pPr>
        <w:spacing w:beforeLines="80" w:before="249" w:afterLines="50" w:after="156"/>
        <w:jc w:val="center"/>
        <w:outlineLvl w:val="0"/>
        <w:rPr>
          <w:rFonts w:ascii="仿宋" w:eastAsia="仿宋" w:hAnsi="仿宋" w:cs="仿宋"/>
          <w:w w:val="97"/>
          <w:sz w:val="32"/>
          <w:szCs w:val="32"/>
        </w:rPr>
      </w:pPr>
      <w:bookmarkStart w:id="121" w:name="_Toc1468"/>
      <w:r>
        <w:rPr>
          <w:rFonts w:ascii="黑体" w:eastAsia="黑体" w:hAnsi="黑体" w:hint="eastAsia"/>
          <w:sz w:val="32"/>
          <w:szCs w:val="32"/>
        </w:rPr>
        <w:lastRenderedPageBreak/>
        <w:t>第十三章 统筹发展和安全，建设高水平平安公主岭</w:t>
      </w:r>
      <w:bookmarkEnd w:id="121"/>
    </w:p>
    <w:p w14:paraId="697FC265" w14:textId="77777777" w:rsidR="00501569" w:rsidRDefault="00C74794">
      <w:pPr>
        <w:adjustRightInd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面贯彻落实总体国家安全观，坚决打好防范化解重大风险攻坚战，建立健全各领域重大风险预警、防控、联动、处置机制，切实提升防范化解能力，完善现代社会治理体系，确保经济行稳致远、社会和谐稳定、人民安居乐业。</w:t>
      </w:r>
    </w:p>
    <w:p w14:paraId="65518D15" w14:textId="77777777" w:rsidR="00501569" w:rsidRPr="00650990" w:rsidRDefault="00C74794" w:rsidP="0045498C">
      <w:pPr>
        <w:adjustRightInd w:val="0"/>
        <w:spacing w:beforeLines="50" w:before="156" w:afterLines="50" w:after="156"/>
        <w:jc w:val="center"/>
        <w:outlineLvl w:val="1"/>
        <w:rPr>
          <w:rFonts w:ascii="楷体_GB2312" w:eastAsia="楷体_GB2312" w:hAnsi="楷体_GB2312" w:cs="楷体_GB2312"/>
          <w:b/>
          <w:bCs/>
          <w:sz w:val="32"/>
          <w:szCs w:val="32"/>
        </w:rPr>
      </w:pPr>
      <w:bookmarkStart w:id="122" w:name="_Toc31637"/>
      <w:r w:rsidRPr="00650990">
        <w:rPr>
          <w:rFonts w:ascii="楷体_GB2312" w:eastAsia="楷体_GB2312" w:hAnsi="楷体_GB2312" w:cs="楷体_GB2312" w:hint="eastAsia"/>
          <w:b/>
          <w:bCs/>
          <w:sz w:val="32"/>
          <w:szCs w:val="32"/>
        </w:rPr>
        <w:t>第一节 守住经济社会发展安全底线</w:t>
      </w:r>
      <w:bookmarkEnd w:id="122"/>
    </w:p>
    <w:p w14:paraId="049E4A28" w14:textId="77777777" w:rsidR="00501569" w:rsidRDefault="00C74794">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巩固国家安全人民防线，积极应对经济下行压力，坚决防范系统性、区域性金融风险，统筹做好稳增长和防风险的平衡关系。</w:t>
      </w:r>
    </w:p>
    <w:p w14:paraId="478F86BF" w14:textId="77777777" w:rsidR="008C488A" w:rsidRDefault="008C488A">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健全</w:t>
      </w:r>
      <w:r w:rsidR="00C74794">
        <w:rPr>
          <w:rFonts w:ascii="仿宋_GB2312" w:eastAsia="仿宋_GB2312" w:hAnsi="仿宋_GB2312" w:cs="仿宋_GB2312" w:hint="eastAsia"/>
          <w:b/>
          <w:sz w:val="32"/>
          <w:szCs w:val="32"/>
        </w:rPr>
        <w:t>维护国家安全</w:t>
      </w:r>
      <w:r>
        <w:rPr>
          <w:rFonts w:ascii="仿宋_GB2312" w:eastAsia="仿宋_GB2312" w:hAnsi="仿宋_GB2312" w:cs="仿宋_GB2312" w:hint="eastAsia"/>
          <w:b/>
          <w:sz w:val="32"/>
          <w:szCs w:val="32"/>
        </w:rPr>
        <w:t>体制机制</w:t>
      </w:r>
      <w:r w:rsidR="00C74794">
        <w:rPr>
          <w:rFonts w:ascii="仿宋_GB2312" w:eastAsia="仿宋_GB2312" w:hAnsi="仿宋_GB2312" w:cs="仿宋_GB2312" w:hint="eastAsia"/>
          <w:b/>
          <w:sz w:val="32"/>
          <w:szCs w:val="32"/>
        </w:rPr>
        <w:t>。</w:t>
      </w:r>
      <w:r w:rsidR="00C74794">
        <w:rPr>
          <w:rFonts w:ascii="仿宋_GB2312" w:eastAsia="仿宋_GB2312" w:hAnsi="仿宋_GB2312" w:cs="仿宋_GB2312"/>
          <w:sz w:val="32"/>
          <w:szCs w:val="32"/>
        </w:rPr>
        <w:t>完善国家安全工作组织领导体系，强化党委国家安全委员会领导作用，严格落实领导责任、属地责任、监管责任和主体责任，健全维护国家安全的保障体系和风险预警管控机制。强化国家安全执法活动和宣传教育活动，全面加强网络安全保障体系和网络空间治理能力建设，</w:t>
      </w:r>
      <w:r w:rsidR="00C74794">
        <w:rPr>
          <w:rFonts w:ascii="仿宋_GB2312" w:eastAsia="仿宋_GB2312" w:hAnsi="仿宋_GB2312" w:cs="仿宋_GB2312" w:hint="eastAsia"/>
          <w:sz w:val="32"/>
          <w:szCs w:val="32"/>
        </w:rPr>
        <w:t>筑牢</w:t>
      </w:r>
      <w:r w:rsidR="00C74794">
        <w:rPr>
          <w:rFonts w:ascii="仿宋_GB2312" w:eastAsia="仿宋_GB2312" w:hAnsi="仿宋_GB2312" w:cs="仿宋_GB2312"/>
          <w:sz w:val="32"/>
          <w:szCs w:val="32"/>
        </w:rPr>
        <w:t>国家安全防线。</w:t>
      </w:r>
    </w:p>
    <w:p w14:paraId="68311949" w14:textId="77777777" w:rsidR="00501569" w:rsidRDefault="008C488A">
      <w:pPr>
        <w:ind w:firstLineChars="200" w:firstLine="643"/>
        <w:rPr>
          <w:rFonts w:ascii="仿宋_GB2312" w:eastAsia="仿宋_GB2312" w:hAnsi="仿宋_GB2312" w:cs="仿宋_GB2312"/>
          <w:sz w:val="32"/>
          <w:szCs w:val="32"/>
        </w:rPr>
      </w:pPr>
      <w:r w:rsidRPr="008C488A">
        <w:rPr>
          <w:rFonts w:ascii="仿宋_GB2312" w:eastAsia="仿宋_GB2312" w:hAnsi="仿宋_GB2312" w:cs="仿宋_GB2312" w:hint="eastAsia"/>
          <w:b/>
          <w:bCs/>
          <w:sz w:val="32"/>
          <w:szCs w:val="32"/>
        </w:rPr>
        <w:t>维护国防安全。</w:t>
      </w:r>
      <w:r>
        <w:rPr>
          <w:rFonts w:ascii="仿宋_GB2312" w:eastAsia="仿宋_GB2312" w:hAnsi="仿宋_GB2312" w:cs="仿宋_GB2312" w:hint="eastAsia"/>
          <w:sz w:val="32"/>
          <w:szCs w:val="32"/>
        </w:rPr>
        <w:t>常态化落实</w:t>
      </w:r>
      <w:r w:rsidR="002C67E3">
        <w:rPr>
          <w:rFonts w:ascii="仿宋_GB2312" w:eastAsia="仿宋_GB2312" w:hAnsi="仿宋_GB2312" w:cs="仿宋_GB2312" w:hint="eastAsia"/>
          <w:sz w:val="32"/>
          <w:szCs w:val="32"/>
        </w:rPr>
        <w:t>党管武装</w:t>
      </w:r>
      <w:r>
        <w:rPr>
          <w:rFonts w:ascii="仿宋_GB2312" w:eastAsia="仿宋_GB2312" w:hAnsi="仿宋_GB2312" w:cs="仿宋_GB2312" w:hint="eastAsia"/>
          <w:sz w:val="32"/>
          <w:szCs w:val="32"/>
        </w:rPr>
        <w:t>制度</w:t>
      </w:r>
      <w:r w:rsidR="002C67E3">
        <w:rPr>
          <w:rFonts w:ascii="仿宋_GB2312" w:eastAsia="仿宋_GB2312" w:hAnsi="仿宋_GB2312" w:cs="仿宋_GB2312" w:hint="eastAsia"/>
          <w:sz w:val="32"/>
          <w:szCs w:val="32"/>
        </w:rPr>
        <w:t>，夯实国防后</w:t>
      </w:r>
      <w:r w:rsidR="002C67E3">
        <w:rPr>
          <w:rFonts w:ascii="仿宋_GB2312" w:eastAsia="仿宋_GB2312" w:hAnsi="仿宋_GB2312" w:cs="仿宋_GB2312" w:hint="eastAsia"/>
          <w:sz w:val="32"/>
          <w:szCs w:val="32"/>
        </w:rPr>
        <w:lastRenderedPageBreak/>
        <w:t>备力量建设基础</w:t>
      </w:r>
      <w:r>
        <w:rPr>
          <w:rFonts w:ascii="仿宋_GB2312" w:eastAsia="仿宋_GB2312" w:hAnsi="仿宋_GB2312" w:cs="仿宋_GB2312" w:hint="eastAsia"/>
          <w:sz w:val="32"/>
          <w:szCs w:val="32"/>
        </w:rPr>
        <w:t>，</w:t>
      </w:r>
      <w:r w:rsidR="002C67E3">
        <w:rPr>
          <w:rFonts w:ascii="仿宋_GB2312" w:eastAsia="仿宋_GB2312" w:hAnsi="仿宋_GB2312" w:cs="仿宋_GB2312" w:hint="eastAsia"/>
          <w:sz w:val="32"/>
          <w:szCs w:val="32"/>
        </w:rPr>
        <w:t>健全国防动员体制机制</w:t>
      </w:r>
      <w:r>
        <w:rPr>
          <w:rFonts w:ascii="仿宋_GB2312" w:eastAsia="仿宋_GB2312" w:hAnsi="仿宋_GB2312" w:cs="仿宋_GB2312" w:hint="eastAsia"/>
          <w:sz w:val="32"/>
          <w:szCs w:val="32"/>
        </w:rPr>
        <w:t>。加强国防和后备力量建设。建设过硬民兵预备役队伍。促进军民融合发展，建立科学有效、配套完善的运行机制，强化政策协调向实际成效转化。加强全民国防教育。扎实做好人民防空建设。</w:t>
      </w:r>
    </w:p>
    <w:p w14:paraId="3EA405CC" w14:textId="77777777" w:rsidR="00501569" w:rsidRDefault="00C74794">
      <w:pPr>
        <w:ind w:firstLineChars="200" w:firstLine="643"/>
        <w:rPr>
          <w:rFonts w:ascii="仿宋_GB2312" w:eastAsia="仿宋_GB2312" w:hAnsi="仿宋_GB2312" w:cs="仿宋_GB2312"/>
          <w:b/>
          <w:sz w:val="32"/>
          <w:szCs w:val="32"/>
        </w:rPr>
      </w:pPr>
      <w:r>
        <w:rPr>
          <w:rFonts w:ascii="仿宋_GB2312" w:eastAsia="仿宋_GB2312" w:hAnsi="仿宋_GB2312" w:cs="仿宋_GB2312"/>
          <w:b/>
          <w:sz w:val="32"/>
          <w:szCs w:val="32"/>
        </w:rPr>
        <w:t>切实维护经济安全。</w:t>
      </w:r>
      <w:r>
        <w:rPr>
          <w:rFonts w:ascii="仿宋_GB2312" w:eastAsia="仿宋_GB2312" w:hAnsi="仿宋_GB2312" w:cs="仿宋_GB2312"/>
          <w:sz w:val="32"/>
          <w:szCs w:val="32"/>
        </w:rPr>
        <w:t>平衡好稳增长和防风险的关系，扎实做好“六稳”工作、落实“六保”任务，稳住经济基本盘，增强经济抗风险能力。建立完善政策预研预储机制和经济运行</w:t>
      </w:r>
      <w:r>
        <w:rPr>
          <w:rFonts w:ascii="仿宋_GB2312" w:eastAsia="仿宋_GB2312" w:hAnsi="仿宋_GB2312" w:cs="仿宋_GB2312" w:hint="eastAsia"/>
          <w:sz w:val="32"/>
          <w:szCs w:val="32"/>
        </w:rPr>
        <w:t>监</w:t>
      </w:r>
      <w:r>
        <w:rPr>
          <w:rFonts w:ascii="仿宋_GB2312" w:eastAsia="仿宋_GB2312" w:hAnsi="仿宋_GB2312" w:cs="仿宋_GB2312"/>
          <w:sz w:val="32"/>
          <w:szCs w:val="32"/>
        </w:rPr>
        <w:t>测预警机制，加强对重点区域、重点行业、重点</w:t>
      </w:r>
      <w:r>
        <w:rPr>
          <w:rFonts w:ascii="仿宋_GB2312" w:eastAsia="仿宋_GB2312" w:hAnsi="仿宋_GB2312" w:cs="仿宋_GB2312" w:hint="eastAsia"/>
          <w:sz w:val="32"/>
          <w:szCs w:val="32"/>
        </w:rPr>
        <w:t>环节</w:t>
      </w:r>
      <w:r>
        <w:rPr>
          <w:rFonts w:ascii="仿宋_GB2312" w:eastAsia="仿宋_GB2312" w:hAnsi="仿宋_GB2312" w:cs="仿宋_GB2312"/>
          <w:sz w:val="32"/>
          <w:szCs w:val="32"/>
        </w:rPr>
        <w:t>监测，提高经济调控的预见性和精准性。强化金融风险防控，加强跨行业、</w:t>
      </w:r>
      <w:r>
        <w:rPr>
          <w:rFonts w:ascii="仿宋_GB2312" w:eastAsia="仿宋_GB2312" w:hAnsi="仿宋_GB2312" w:cs="仿宋_GB2312" w:hint="eastAsia"/>
          <w:sz w:val="32"/>
          <w:szCs w:val="32"/>
        </w:rPr>
        <w:t>跨</w:t>
      </w:r>
      <w:r>
        <w:rPr>
          <w:rFonts w:ascii="仿宋_GB2312" w:eastAsia="仿宋_GB2312" w:hAnsi="仿宋_GB2312" w:cs="仿宋_GB2312"/>
          <w:sz w:val="32"/>
          <w:szCs w:val="32"/>
        </w:rPr>
        <w:t>市场、跨部门的信息共享和监管协调，完善金融风险联防联控联处机制，坚决守住不发生系统性区域性金融风险底线。健全政府债务管理制度，积极稳妥化解地方</w:t>
      </w:r>
      <w:r>
        <w:rPr>
          <w:rFonts w:ascii="仿宋_GB2312" w:eastAsia="仿宋_GB2312" w:hAnsi="仿宋_GB2312" w:cs="仿宋_GB2312" w:hint="eastAsia"/>
          <w:sz w:val="32"/>
          <w:szCs w:val="32"/>
        </w:rPr>
        <w:t>政府</w:t>
      </w:r>
      <w:r>
        <w:rPr>
          <w:rFonts w:ascii="仿宋_GB2312" w:eastAsia="仿宋_GB2312" w:hAnsi="仿宋_GB2312" w:cs="仿宋_GB2312"/>
          <w:sz w:val="32"/>
          <w:szCs w:val="32"/>
        </w:rPr>
        <w:t>债务风险。</w:t>
      </w:r>
    </w:p>
    <w:p w14:paraId="357F3BC0"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23" w:name="_Toc25663"/>
      <w:r w:rsidRPr="00650990">
        <w:rPr>
          <w:rFonts w:ascii="楷体_GB2312" w:eastAsia="楷体_GB2312" w:hAnsi="楷体_GB2312" w:cs="楷体_GB2312" w:hint="eastAsia"/>
          <w:b/>
          <w:bCs/>
          <w:sz w:val="32"/>
          <w:szCs w:val="32"/>
        </w:rPr>
        <w:t>第二节 强化公共安全体系建设</w:t>
      </w:r>
      <w:bookmarkEnd w:id="123"/>
    </w:p>
    <w:p w14:paraId="6D240A04" w14:textId="77777777" w:rsidR="00501569" w:rsidRDefault="00C74794">
      <w:pPr>
        <w:pStyle w:val="Default"/>
        <w:ind w:firstLineChars="200" w:firstLine="640"/>
        <w:rPr>
          <w:rFonts w:cs="仿宋_GB2312"/>
          <w:sz w:val="32"/>
          <w:szCs w:val="32"/>
        </w:rPr>
      </w:pPr>
      <w:r>
        <w:rPr>
          <w:rFonts w:cs="仿宋_GB2312" w:hint="eastAsia"/>
          <w:sz w:val="32"/>
          <w:szCs w:val="32"/>
        </w:rPr>
        <w:t>践行安全发展理念，完善疾病预防控制体系和重大疫情防控救治体系，加强和改进安全生产、食品药品安全监管制度，保障人民生命安全和身体健康。</w:t>
      </w:r>
    </w:p>
    <w:p w14:paraId="1AA1306B" w14:textId="77777777" w:rsidR="00501569" w:rsidRDefault="00C74794">
      <w:pPr>
        <w:pStyle w:val="Default"/>
        <w:ind w:firstLineChars="200" w:firstLine="643"/>
        <w:rPr>
          <w:rFonts w:cs="仿宋_GB2312"/>
          <w:sz w:val="32"/>
          <w:szCs w:val="32"/>
        </w:rPr>
      </w:pPr>
      <w:r>
        <w:rPr>
          <w:rFonts w:cs="仿宋_GB2312" w:hint="eastAsia"/>
          <w:b/>
          <w:bCs/>
          <w:sz w:val="32"/>
          <w:szCs w:val="32"/>
        </w:rPr>
        <w:t>提升安全生产水平。</w:t>
      </w:r>
      <w:r>
        <w:rPr>
          <w:rFonts w:cs="仿宋_GB2312" w:hint="eastAsia"/>
          <w:kern w:val="2"/>
          <w:sz w:val="32"/>
          <w:szCs w:val="32"/>
          <w:shd w:val="clear" w:color="FFFFFF" w:fill="FFFFFF"/>
        </w:rPr>
        <w:t>完善安全监管机制，探索诚信约束、联动执法、行刑衔接、约谈问责、巡查考核、全程追溯等机制，完善“互联网+监管（执法）”模式，创新安全生产监管执法方式方法。强化安全风险管控，突出重点区域、重点产业、重大危险源、重点部位和重点环节，制定</w:t>
      </w:r>
      <w:r>
        <w:rPr>
          <w:rFonts w:cs="仿宋_GB2312" w:hint="eastAsia"/>
          <w:kern w:val="2"/>
          <w:sz w:val="32"/>
          <w:szCs w:val="32"/>
          <w:shd w:val="clear" w:color="FFFFFF" w:fill="FFFFFF"/>
        </w:rPr>
        <w:lastRenderedPageBreak/>
        <w:t>风险评估分级标准和辨识评估的程序、方法，建立风险评估管控责任制。</w:t>
      </w:r>
      <w:r>
        <w:rPr>
          <w:rFonts w:cs="仿宋_GB2312" w:hint="eastAsia"/>
          <w:sz w:val="32"/>
          <w:szCs w:val="32"/>
        </w:rPr>
        <w:t>推进安全标准化建设，持续推进安全生产隐患大排查、大整治，重点开展煤矿、危险化学品、非煤矿山、道路交通、燃气、消防、建筑施工和道路交通等行业安全综合治理，坚决遏制重特大生产安全事故。</w:t>
      </w:r>
    </w:p>
    <w:p w14:paraId="34CB412E" w14:textId="77777777" w:rsidR="00501569" w:rsidRDefault="00C74794">
      <w:pPr>
        <w:pStyle w:val="Default"/>
        <w:ind w:firstLineChars="200" w:firstLine="643"/>
        <w:rPr>
          <w:rFonts w:cs="仿宋_GB2312"/>
          <w:bCs/>
          <w:color w:val="auto"/>
          <w:sz w:val="32"/>
          <w:szCs w:val="32"/>
        </w:rPr>
      </w:pPr>
      <w:r>
        <w:rPr>
          <w:rFonts w:cs="仿宋_GB2312" w:hint="eastAsia"/>
          <w:b/>
          <w:bCs/>
          <w:sz w:val="32"/>
          <w:szCs w:val="32"/>
        </w:rPr>
        <w:t>加强食品药品安全。</w:t>
      </w:r>
      <w:r>
        <w:rPr>
          <w:rFonts w:cs="仿宋_GB2312" w:hint="eastAsia"/>
          <w:bCs/>
          <w:color w:val="auto"/>
          <w:sz w:val="32"/>
          <w:szCs w:val="32"/>
        </w:rPr>
        <w:t>强化食品药品安全监管，确保百姓饮食用药安全。</w:t>
      </w:r>
      <w:r>
        <w:rPr>
          <w:rFonts w:cs="仿宋_GB2312" w:hint="eastAsia"/>
          <w:sz w:val="32"/>
          <w:szCs w:val="32"/>
        </w:rPr>
        <w:t>建立健全食品安全全程监督管理和信息共享机制，提高食品药品安全监管能力。</w:t>
      </w:r>
      <w:r>
        <w:rPr>
          <w:rFonts w:cs="仿宋_GB2312" w:hint="eastAsia"/>
          <w:bCs/>
          <w:color w:val="auto"/>
          <w:sz w:val="32"/>
          <w:szCs w:val="32"/>
        </w:rPr>
        <w:t>完善监管体系建设，创建食品安全示范县，推进溯源体系+检测体系+监控体系+监管体系的数字食安建设。建立和完善信息传递体系，同省监管平台直接链接，形成市、乡、村信息网络，全方位保障食品安全。完善食品药品经营单位诚信档案，达到系统化、规范化、标准化管理。建立饮用水安全监管体系，加强饮用水水质监管。</w:t>
      </w:r>
    </w:p>
    <w:p w14:paraId="7490400C" w14:textId="77777777" w:rsidR="00501569" w:rsidRDefault="00C74794">
      <w:pPr>
        <w:pStyle w:val="Default"/>
        <w:ind w:firstLineChars="200" w:firstLine="643"/>
        <w:rPr>
          <w:rFonts w:cs="仿宋_GB2312"/>
          <w:sz w:val="32"/>
          <w:szCs w:val="32"/>
        </w:rPr>
      </w:pPr>
      <w:r>
        <w:rPr>
          <w:rFonts w:cs="仿宋_GB2312" w:hint="eastAsia"/>
          <w:b/>
          <w:bCs/>
          <w:sz w:val="32"/>
          <w:szCs w:val="32"/>
        </w:rPr>
        <w:t>建立健全应急管理体制。</w:t>
      </w:r>
      <w:r>
        <w:rPr>
          <w:rFonts w:cs="仿宋_GB2312" w:hint="eastAsia"/>
          <w:sz w:val="32"/>
          <w:szCs w:val="32"/>
        </w:rPr>
        <w:t>建立高效畅通的应急指挥平台，构建“统一指挥、专常兼备、反应灵敏、上下联动、平战结合”的救援指挥体系。提升综合防灾减灾能力，落实应急管理事前、事中、事后全流程协作分工制度，加强水旱、地震、地质、气象、森林草原火灾、生物等自然灾害防治，提升应对自然灾害综合防范能力。健全公共卫生应急管理体系，建立重大疫情防控联动机制，完善突发预警、响应、处置机制和应对预案方案。健全应急物资保障</w:t>
      </w:r>
      <w:r>
        <w:rPr>
          <w:rFonts w:cs="仿宋_GB2312" w:hint="eastAsia"/>
          <w:sz w:val="32"/>
          <w:szCs w:val="32"/>
        </w:rPr>
        <w:lastRenderedPageBreak/>
        <w:t>体系，推动公共卫生应急物资仓储设施建设，保证药品、医疗器械等防疫防护防控救治物资用品充足完备，提高应对突发公共卫生事件的能力和水平。健全救灾捐赠管理机制，提升公众防灾抗灾意识和自救互救技能。加强应急队伍和应急救援力量体系建设，加强乡（镇、街）应急管理站（所）建设，加强应急演练，提升应急管理社会协同能力。</w:t>
      </w:r>
    </w:p>
    <w:p w14:paraId="5CF6115B"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24" w:name="_Toc31883"/>
      <w:r w:rsidRPr="00650990">
        <w:rPr>
          <w:rFonts w:ascii="楷体_GB2312" w:eastAsia="楷体_GB2312" w:hAnsi="楷体_GB2312" w:cs="楷体_GB2312" w:hint="eastAsia"/>
          <w:b/>
          <w:bCs/>
          <w:sz w:val="32"/>
          <w:szCs w:val="32"/>
        </w:rPr>
        <w:t>第三节</w:t>
      </w:r>
      <w:r w:rsidRPr="00650990">
        <w:rPr>
          <w:rFonts w:ascii="楷体_GB2312" w:eastAsia="楷体_GB2312" w:hAnsi="楷体_GB2312" w:cs="楷体_GB2312"/>
          <w:b/>
          <w:bCs/>
          <w:sz w:val="32"/>
          <w:szCs w:val="32"/>
        </w:rPr>
        <w:t xml:space="preserve"> </w:t>
      </w:r>
      <w:r w:rsidRPr="00650990">
        <w:rPr>
          <w:rFonts w:ascii="楷体_GB2312" w:eastAsia="楷体_GB2312" w:hAnsi="楷体_GB2312" w:cs="楷体_GB2312" w:hint="eastAsia"/>
          <w:b/>
          <w:bCs/>
          <w:sz w:val="32"/>
          <w:szCs w:val="32"/>
        </w:rPr>
        <w:t>提升社会治理能力</w:t>
      </w:r>
      <w:bookmarkEnd w:id="124"/>
    </w:p>
    <w:p w14:paraId="6704B9C8" w14:textId="77777777" w:rsidR="00501569" w:rsidRDefault="00C74794">
      <w:pPr>
        <w:pStyle w:val="Default"/>
        <w:ind w:firstLineChars="200" w:firstLine="640"/>
        <w:rPr>
          <w:rFonts w:cs="仿宋_GB2312"/>
          <w:sz w:val="32"/>
        </w:rPr>
      </w:pPr>
      <w:r>
        <w:rPr>
          <w:rFonts w:cs="仿宋_GB2312" w:hint="eastAsia"/>
          <w:sz w:val="32"/>
          <w:szCs w:val="32"/>
        </w:rPr>
        <w:t>完善社会治理制度，</w:t>
      </w:r>
      <w:r>
        <w:rPr>
          <w:rFonts w:cs="仿宋_GB2312" w:hint="eastAsia"/>
          <w:sz w:val="32"/>
        </w:rPr>
        <w:t>建设人人有责、人人尽责、人人享有的社会治理共同体，切实防控各类风险隐患，有效维护社会稳定，打造平安公主岭、法治公主岭、信用公主岭，确保人民安居乐业、社会安定有序。</w:t>
      </w:r>
    </w:p>
    <w:p w14:paraId="3B5812CF" w14:textId="77777777" w:rsidR="00501569" w:rsidRDefault="00C74794">
      <w:pPr>
        <w:pStyle w:val="Default"/>
        <w:ind w:firstLineChars="200" w:firstLine="643"/>
        <w:rPr>
          <w:rFonts w:cs="仿宋_GB2312"/>
          <w:sz w:val="32"/>
          <w:szCs w:val="32"/>
        </w:rPr>
      </w:pPr>
      <w:r>
        <w:rPr>
          <w:rFonts w:cs="仿宋_GB2312" w:hint="eastAsia"/>
          <w:b/>
          <w:bCs/>
          <w:sz w:val="32"/>
          <w:szCs w:val="32"/>
        </w:rPr>
        <w:t>完善基层治理。</w:t>
      </w:r>
      <w:r>
        <w:rPr>
          <w:rFonts w:cs="仿宋_GB2312" w:hint="eastAsia"/>
          <w:sz w:val="32"/>
          <w:szCs w:val="32"/>
        </w:rPr>
        <w:t>加强党的基层组织建设，推动党的工作有效覆盖各类社会群体。完善社区管理和服务机制，深化社区综合管理服务、社区网格化管理服务、社区居民自治、社会力量参与、社区警务考评、社区警务保障等六大体系建设，实施“幸福社区工程”，推进基层民主建设和基础平台建设，提升社区自治能力和服务能力。全面提升农村基层党组织综合能力，创新村民议事形势，实现政府治理与社会调节、居民自治良性互动。完善社区治理应急联动机制，强化社区风险防范预案管理，提高对自然灾害、事故灾难、公共卫生事件、社会安全事件的预防和处</w:t>
      </w:r>
      <w:r>
        <w:rPr>
          <w:rFonts w:cs="仿宋_GB2312" w:hint="eastAsia"/>
          <w:sz w:val="32"/>
          <w:szCs w:val="32"/>
        </w:rPr>
        <w:lastRenderedPageBreak/>
        <w:t>置能力。推进社会服务队伍建设，设立社区“社工岗”，稳妥有序将城市社区党组织、居委会的专职成员以及专职从事社区服务和管理的人员（不含公益性岗位人员）纳入管理，提升社区人才支撑能力，打造一支素质优良的专业化社区服务队伍。稳步推进双拥工作，争创双拥模范城。</w:t>
      </w:r>
    </w:p>
    <w:p w14:paraId="3CD67148" w14:textId="77777777" w:rsidR="00501569" w:rsidRDefault="00C74794">
      <w:pPr>
        <w:pStyle w:val="Default"/>
        <w:ind w:firstLineChars="200" w:firstLine="643"/>
        <w:rPr>
          <w:rFonts w:cs="仿宋_GB2312"/>
          <w:sz w:val="32"/>
          <w:szCs w:val="32"/>
        </w:rPr>
      </w:pPr>
      <w:r>
        <w:rPr>
          <w:rFonts w:cs="仿宋_GB2312" w:hint="eastAsia"/>
          <w:b/>
          <w:bCs/>
          <w:sz w:val="32"/>
          <w:szCs w:val="32"/>
        </w:rPr>
        <w:t>有效化解社会矛盾。</w:t>
      </w:r>
      <w:r>
        <w:rPr>
          <w:rFonts w:cs="仿宋_GB2312" w:hint="eastAsia"/>
          <w:sz w:val="32"/>
          <w:szCs w:val="32"/>
        </w:rPr>
        <w:t>加强和改进信访工作，健全社会矛盾纠纷排查预警和多元预防调处化解综合机制，畅通和规范群众诉求表达、利益协调、权益保障通道，努力将矛盾化解在基层。健全完善信访工作联席会议、领导干部接访下访、联合接访、网上信访事项办理、信访事项督查督办、信访维稳隐患排查等制度，推进信访工作法治化、信息化。扎实做好退役军人、下岗分流职工、原民办教师、非法集资利益受损人员等特定利益群体教育稳控和矛盾纠纷化解，依法处置极少数煽动聚集滋事挑头人员与信访违法行为，严防突发负面舆情和大规模群体性事件。落实重大决策社会稳定风险评估制度。</w:t>
      </w:r>
    </w:p>
    <w:p w14:paraId="09C4A815" w14:textId="77777777" w:rsidR="00501569" w:rsidRDefault="00C74794">
      <w:pPr>
        <w:pStyle w:val="Default"/>
        <w:ind w:firstLineChars="200" w:firstLine="643"/>
        <w:rPr>
          <w:rFonts w:cs="仿宋_GB2312"/>
          <w:sz w:val="32"/>
          <w:szCs w:val="32"/>
        </w:rPr>
      </w:pPr>
      <w:r>
        <w:rPr>
          <w:rFonts w:cs="仿宋_GB2312" w:hint="eastAsia"/>
          <w:b/>
          <w:bCs/>
          <w:sz w:val="32"/>
          <w:szCs w:val="32"/>
        </w:rPr>
        <w:t>推动治安防控体系建设。</w:t>
      </w:r>
      <w:r>
        <w:rPr>
          <w:rFonts w:cs="仿宋_GB2312" w:hint="eastAsia"/>
          <w:sz w:val="32"/>
          <w:szCs w:val="32"/>
        </w:rPr>
        <w:t>健全平安公主岭建设协调机制，完善“人防、物防、技防、机制防”四位一体防控网络，形成问题联治、工作联动、平安联创工作机制。建立互联网动态管控机制，推进视频监控城乡一体化建设，织密治安监控、卡口监控和社会面监控有机统一的视频防控网络。深入推进扫黑除恶专项斗争，深化线索核查、破案</w:t>
      </w:r>
      <w:r>
        <w:rPr>
          <w:rFonts w:cs="仿宋_GB2312" w:hint="eastAsia"/>
          <w:sz w:val="32"/>
          <w:szCs w:val="32"/>
        </w:rPr>
        <w:lastRenderedPageBreak/>
        <w:t>攻坚、专项追逃、打掉“保护伞”，推动构建预防和遏制黑恶势力犯罪的长效机制。坚持和发展新时代“枫桥经验”，探索推进农村“一村一辅警”、城区“一格一辅警”工程，稳步推进“智能安防小区”建设。加强与长春市交界地区的管理协作，与长春市联合开展专项整治和综合监管。</w:t>
      </w:r>
    </w:p>
    <w:p w14:paraId="5870E7B2"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25" w:name="_Toc27132"/>
      <w:r w:rsidRPr="00650990">
        <w:rPr>
          <w:rFonts w:ascii="楷体_GB2312" w:eastAsia="楷体_GB2312" w:hAnsi="楷体_GB2312" w:cs="楷体_GB2312" w:hint="eastAsia"/>
          <w:b/>
          <w:bCs/>
          <w:sz w:val="32"/>
          <w:szCs w:val="32"/>
        </w:rPr>
        <w:t>第四节 建设法治公主岭</w:t>
      </w:r>
      <w:bookmarkEnd w:id="125"/>
    </w:p>
    <w:p w14:paraId="7E758F19" w14:textId="77777777" w:rsidR="00501569" w:rsidRDefault="00C74794">
      <w:pPr>
        <w:pStyle w:val="New0"/>
        <w:autoSpaceDE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坚持依法治市、依法执政、依法行政共同推进，增强制度意识和制度执行力，全面实施公正司法、严格执法、全民守法一体化建设。</w:t>
      </w:r>
    </w:p>
    <w:p w14:paraId="7EFFA073" w14:textId="77777777" w:rsidR="00501569" w:rsidRDefault="00C74794">
      <w:pPr>
        <w:pStyle w:val="Default"/>
        <w:ind w:firstLineChars="200" w:firstLine="643"/>
        <w:rPr>
          <w:rFonts w:cs="仿宋_GB2312"/>
          <w:color w:val="auto"/>
          <w:w w:val="97"/>
          <w:kern w:val="2"/>
          <w:sz w:val="32"/>
          <w:szCs w:val="32"/>
        </w:rPr>
      </w:pPr>
      <w:r>
        <w:rPr>
          <w:rFonts w:cs="仿宋_GB2312" w:hint="eastAsia"/>
          <w:b/>
          <w:bCs/>
          <w:sz w:val="32"/>
          <w:szCs w:val="32"/>
        </w:rPr>
        <w:t>完善法治保障制度。</w:t>
      </w:r>
      <w:r>
        <w:rPr>
          <w:rFonts w:cs="仿宋_GB2312" w:hint="eastAsia"/>
          <w:color w:val="auto"/>
          <w:kern w:val="2"/>
          <w:sz w:val="32"/>
          <w:szCs w:val="32"/>
        </w:rPr>
        <w:t>深化司法体制综合配套改革，落实司法责任制，完善司法权力运行管理监督机制，切实防止冤假错案，提高司法质量、效率和公信力。完善防止干预司法活动的相关制度，保证行政权、监察权、审判权、检察权在阳光下运行。</w:t>
      </w:r>
    </w:p>
    <w:p w14:paraId="2FBB4B0C" w14:textId="77777777" w:rsidR="00501569" w:rsidRDefault="00C74794" w:rsidP="004544E1">
      <w:pPr>
        <w:pStyle w:val="Default"/>
        <w:ind w:firstLineChars="200" w:firstLine="628"/>
        <w:rPr>
          <w:rFonts w:cs="仿宋_GB2312"/>
          <w:color w:val="auto"/>
          <w:kern w:val="2"/>
          <w:sz w:val="32"/>
          <w:szCs w:val="32"/>
        </w:rPr>
      </w:pPr>
      <w:r>
        <w:rPr>
          <w:rFonts w:cs="仿宋_GB2312" w:hint="eastAsia"/>
          <w:b/>
          <w:bCs/>
          <w:color w:val="auto"/>
          <w:w w:val="97"/>
          <w:kern w:val="2"/>
          <w:sz w:val="32"/>
          <w:szCs w:val="32"/>
        </w:rPr>
        <w:t>建设法治政府。</w:t>
      </w:r>
      <w:r>
        <w:rPr>
          <w:rFonts w:cs="仿宋_GB2312" w:hint="eastAsia"/>
          <w:color w:val="auto"/>
          <w:kern w:val="2"/>
          <w:sz w:val="32"/>
          <w:szCs w:val="32"/>
        </w:rPr>
        <w:t>完善依法决策机制，严格履行公众参与、专家论证、风险评估、集体讨论决定等重大行政决策法定程序。提高政府公职人员依法行政的意识和能力，推动审批监管、执法司法、工程建设、资源开发、公共财政支出等重点领域制度建设，建立权力运行可查询、可追溯机制。深化行政执法体制改革，加大关系群众切身利益的重点领域执法力度。严格规范公正文明执法，规范执法自</w:t>
      </w:r>
      <w:r>
        <w:rPr>
          <w:rFonts w:cs="仿宋_GB2312" w:hint="eastAsia"/>
          <w:color w:val="auto"/>
          <w:kern w:val="2"/>
          <w:sz w:val="32"/>
          <w:szCs w:val="32"/>
        </w:rPr>
        <w:lastRenderedPageBreak/>
        <w:t>由裁量权，实施跨领域跨部门综合执法，细化明确行政执法程序，落实行政执法责任制和责任追究制度。强化审计监督，对公共资金、公共资产、公共资源和领导干部履行经济责任情况实行审计全覆盖。加强人大的法律监督、政协的民主监督和人民群众的日常监督，确保依法办事、阳光用权。</w:t>
      </w:r>
    </w:p>
    <w:p w14:paraId="3F3ADB29" w14:textId="77777777" w:rsidR="00501569" w:rsidRDefault="00C74794">
      <w:pPr>
        <w:pStyle w:val="Default"/>
        <w:ind w:firstLineChars="200" w:firstLine="643"/>
        <w:rPr>
          <w:rFonts w:cs="仿宋_GB2312"/>
          <w:color w:val="auto"/>
          <w:kern w:val="2"/>
          <w:sz w:val="32"/>
          <w:szCs w:val="32"/>
        </w:rPr>
      </w:pPr>
      <w:r>
        <w:rPr>
          <w:rFonts w:cs="仿宋_GB2312" w:hint="eastAsia"/>
          <w:b/>
          <w:bCs/>
          <w:sz w:val="32"/>
          <w:szCs w:val="32"/>
        </w:rPr>
        <w:t>建设法治社会。</w:t>
      </w:r>
      <w:r>
        <w:rPr>
          <w:rFonts w:cs="仿宋_GB2312" w:hint="eastAsia"/>
          <w:color w:val="auto"/>
          <w:kern w:val="2"/>
          <w:sz w:val="32"/>
          <w:szCs w:val="32"/>
        </w:rPr>
        <w:t>深入开展法治宣传教育，加大全民普法力度，构建社会“大普法”格局，推进党政机关以及领导干部尊法学法守法用法，提高运用法治思维和法治方式的能力。增强全民法治观念，引导广大群众自觉守法、遇事找法、解决问题用法，运用法律解决诉求和化解矛盾纠纷。加强公共法律服务实体平台、热线平台、网络平台建设，推进惠及全民的公共法律服务体系建设。完善司法管理体制，加强公共法律服务队伍建设，落实法律援助制度和司法救助体系，深度实施法律援助惠民工程，确保人民群众及时获得有效法律帮助。</w:t>
      </w:r>
    </w:p>
    <w:p w14:paraId="4FF67887"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26" w:name="_Toc14110"/>
      <w:r w:rsidRPr="00650990">
        <w:rPr>
          <w:rFonts w:ascii="楷体_GB2312" w:eastAsia="楷体_GB2312" w:hAnsi="楷体_GB2312" w:cs="楷体_GB2312" w:hint="eastAsia"/>
          <w:b/>
          <w:bCs/>
          <w:sz w:val="32"/>
          <w:szCs w:val="32"/>
        </w:rPr>
        <w:t>第五节 建设信用公主岭</w:t>
      </w:r>
      <w:bookmarkEnd w:id="126"/>
    </w:p>
    <w:p w14:paraId="3D7ABB92"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推动社会信用体系建设。</w:t>
      </w:r>
      <w:r>
        <w:rPr>
          <w:rFonts w:ascii="仿宋_GB2312" w:eastAsia="仿宋_GB2312" w:hAnsi="仿宋_GB2312" w:cs="仿宋_GB2312" w:hint="eastAsia"/>
          <w:sz w:val="32"/>
          <w:szCs w:val="32"/>
        </w:rPr>
        <w:t>建立</w:t>
      </w:r>
      <w:r>
        <w:rPr>
          <w:rFonts w:ascii="仿宋_GB2312" w:eastAsia="仿宋_GB2312" w:hAnsi="仿宋_GB2312" w:cs="仿宋_GB2312"/>
          <w:sz w:val="32"/>
          <w:szCs w:val="32"/>
        </w:rPr>
        <w:t>政府机构、企业、个人、事业单位、社会组织五类主体</w:t>
      </w:r>
      <w:r>
        <w:rPr>
          <w:rFonts w:ascii="仿宋_GB2312" w:eastAsia="仿宋_GB2312" w:hAnsi="仿宋_GB2312" w:cs="仿宋_GB2312" w:hint="eastAsia"/>
          <w:sz w:val="32"/>
          <w:szCs w:val="32"/>
        </w:rPr>
        <w:t>的</w:t>
      </w:r>
      <w:r>
        <w:rPr>
          <w:rFonts w:ascii="仿宋_GB2312" w:eastAsia="仿宋_GB2312" w:hAnsi="仿宋_GB2312" w:cs="仿宋_GB2312"/>
          <w:sz w:val="32"/>
          <w:szCs w:val="32"/>
        </w:rPr>
        <w:t>信用档案</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形成“统规范分执行”“统平台分应用”“统基础分创新”</w:t>
      </w:r>
      <w:r>
        <w:rPr>
          <w:rFonts w:ascii="仿宋_GB2312" w:eastAsia="仿宋_GB2312" w:hAnsi="仿宋_GB2312" w:cs="仿宋_GB2312" w:hint="eastAsia"/>
          <w:sz w:val="32"/>
          <w:szCs w:val="32"/>
        </w:rPr>
        <w:t>的</w:t>
      </w:r>
      <w:r>
        <w:rPr>
          <w:rFonts w:ascii="仿宋_GB2312" w:eastAsia="仿宋_GB2312" w:hAnsi="仿宋_GB2312" w:cs="仿宋_GB2312"/>
          <w:sz w:val="32"/>
          <w:szCs w:val="32"/>
        </w:rPr>
        <w:t>三大统分结合</w:t>
      </w:r>
      <w:r>
        <w:rPr>
          <w:rFonts w:ascii="仿宋_GB2312" w:eastAsia="仿宋_GB2312" w:hAnsi="仿宋_GB2312" w:cs="仿宋_GB2312" w:hint="eastAsia"/>
          <w:sz w:val="32"/>
          <w:szCs w:val="32"/>
        </w:rPr>
        <w:t>工作</w:t>
      </w:r>
      <w:r>
        <w:rPr>
          <w:rFonts w:ascii="仿宋_GB2312" w:eastAsia="仿宋_GB2312" w:hAnsi="仿宋_GB2312" w:cs="仿宋_GB2312"/>
          <w:sz w:val="32"/>
          <w:szCs w:val="32"/>
        </w:rPr>
        <w:t>格局</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实现信用档案、信用综合服务平台、信用承诺、行业信用建设、</w:t>
      </w:r>
      <w:r>
        <w:rPr>
          <w:rFonts w:ascii="仿宋_GB2312" w:eastAsia="仿宋_GB2312" w:hAnsi="仿宋_GB2312" w:cs="仿宋_GB2312" w:hint="eastAsia"/>
          <w:sz w:val="32"/>
          <w:szCs w:val="32"/>
        </w:rPr>
        <w:t>信用联合奖惩</w:t>
      </w:r>
      <w:r>
        <w:rPr>
          <w:rFonts w:ascii="仿宋_GB2312" w:eastAsia="仿宋_GB2312" w:hAnsi="仿宋_GB2312" w:cs="仿宋_GB2312"/>
          <w:sz w:val="32"/>
          <w:szCs w:val="32"/>
        </w:rPr>
        <w:t>、诚信教育和宣传六个方面全</w:t>
      </w:r>
      <w:r>
        <w:rPr>
          <w:rFonts w:ascii="仿宋_GB2312" w:eastAsia="仿宋_GB2312" w:hAnsi="仿宋_GB2312" w:cs="仿宋_GB2312"/>
          <w:sz w:val="32"/>
          <w:szCs w:val="32"/>
        </w:rPr>
        <w:lastRenderedPageBreak/>
        <w:t>覆盖</w:t>
      </w:r>
      <w:r>
        <w:rPr>
          <w:rFonts w:ascii="仿宋_GB2312" w:eastAsia="仿宋_GB2312" w:hAnsi="仿宋_GB2312" w:cs="仿宋_GB2312" w:hint="eastAsia"/>
          <w:sz w:val="32"/>
          <w:szCs w:val="32"/>
        </w:rPr>
        <w:t>。围绕政务诚信、商务诚信、社会诚信和司法公信全面推动各领域信用体系建设。提升信用信息化建设水平，建立信用信息征集目录，充分发挥“互联网+”、大数据对信用工作的支撑作用，推动信用监管改革，提升信用监管数据可追溯可监测能力，完善“信用公主岭”网站功能。</w:t>
      </w:r>
    </w:p>
    <w:p w14:paraId="287A926D"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构建新型</w:t>
      </w:r>
      <w:r>
        <w:rPr>
          <w:rFonts w:ascii="仿宋_GB2312" w:eastAsia="仿宋_GB2312" w:hAnsi="仿宋_GB2312" w:cs="仿宋_GB2312" w:hint="eastAsia"/>
          <w:b/>
          <w:bCs/>
          <w:sz w:val="32"/>
          <w:szCs w:val="32"/>
        </w:rPr>
        <w:t>信用</w:t>
      </w:r>
      <w:r>
        <w:rPr>
          <w:rFonts w:ascii="仿宋_GB2312" w:eastAsia="仿宋_GB2312" w:hAnsi="仿宋_GB2312" w:cs="仿宋_GB2312"/>
          <w:b/>
          <w:bCs/>
          <w:sz w:val="32"/>
          <w:szCs w:val="32"/>
        </w:rPr>
        <w:t>监管机制</w:t>
      </w:r>
      <w:r>
        <w:rPr>
          <w:rFonts w:ascii="仿宋_GB2312" w:eastAsia="仿宋_GB2312" w:hAnsi="仿宋_GB2312" w:cs="仿宋_GB2312" w:hint="eastAsia"/>
          <w:b/>
          <w:bCs/>
          <w:sz w:val="32"/>
          <w:szCs w:val="32"/>
        </w:rPr>
        <w:t>。</w:t>
      </w:r>
      <w:r>
        <w:rPr>
          <w:rFonts w:ascii="仿宋_GB2312" w:eastAsia="仿宋_GB2312" w:hAnsi="仿宋_GB2312" w:cs="仿宋_GB2312" w:hint="eastAsia"/>
          <w:sz w:val="32"/>
          <w:szCs w:val="32"/>
        </w:rPr>
        <w:t>创新事前环节信用监管，建立健全信用承诺制度，鼓励市场主体主动向社会作出信用承诺，推动在</w:t>
      </w:r>
      <w:r>
        <w:rPr>
          <w:rFonts w:ascii="仿宋_GB2312" w:eastAsia="仿宋_GB2312" w:hAnsi="仿宋_GB2312" w:cs="仿宋_GB2312"/>
          <w:sz w:val="32"/>
          <w:szCs w:val="32"/>
        </w:rPr>
        <w:t>政府采购、招标投标、行政审批等事项中</w:t>
      </w:r>
      <w:r>
        <w:rPr>
          <w:rFonts w:ascii="仿宋_GB2312" w:eastAsia="仿宋_GB2312" w:hAnsi="仿宋_GB2312" w:cs="仿宋_GB2312" w:hint="eastAsia"/>
          <w:sz w:val="32"/>
          <w:szCs w:val="32"/>
        </w:rPr>
        <w:t>应用信用报告。加强事中环节信用监管，建立市场主体信用记录，</w:t>
      </w:r>
      <w:r>
        <w:rPr>
          <w:rFonts w:ascii="仿宋_GB2312" w:eastAsia="仿宋_GB2312" w:hAnsi="仿宋_GB2312" w:cs="仿宋_GB2312"/>
          <w:sz w:val="32"/>
          <w:szCs w:val="32"/>
        </w:rPr>
        <w:t>整合共享各类信用信息，</w:t>
      </w:r>
      <w:r>
        <w:rPr>
          <w:rFonts w:ascii="仿宋_GB2312" w:eastAsia="仿宋_GB2312" w:hAnsi="仿宋_GB2312" w:cs="仿宋_GB2312" w:hint="eastAsia"/>
          <w:sz w:val="32"/>
          <w:szCs w:val="32"/>
        </w:rPr>
        <w:t>开展公共信用综合评价，实施差异化监管措施。完善事后环节信用监管，健全失信联合惩戒对象认定机制，扩大失信联合惩戒覆盖面，实施市场和行业准入措施。建立完善信用修复机制及异议制度，纠正失信行为和保护信用主体权益。</w:t>
      </w:r>
    </w:p>
    <w:p w14:paraId="015036E5"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突出信用结果应用。</w:t>
      </w:r>
      <w:r>
        <w:rPr>
          <w:rFonts w:ascii="仿宋_GB2312" w:eastAsia="仿宋_GB2312" w:hAnsi="仿宋_GB2312" w:cs="仿宋_GB2312" w:hint="eastAsia"/>
          <w:sz w:val="32"/>
          <w:szCs w:val="32"/>
        </w:rPr>
        <w:t>将信用主体的信用记录、公共信用综合评价、第三方信用评价和信用报告作为实施行政管理的重要参考，鼓励各类市场主体在生产经营中广泛应用信用报告，全面建立市场主体信用记录，开展全覆盖、标准化、公益性的公共信用综合评价，以信用评价为基础全面实施分级分类监管。</w:t>
      </w:r>
    </w:p>
    <w:p w14:paraId="7D5693C1" w14:textId="77777777" w:rsidR="00501569" w:rsidRDefault="00C74794">
      <w:pPr>
        <w:pStyle w:val="Default"/>
        <w:ind w:firstLineChars="200" w:firstLine="643"/>
        <w:jc w:val="both"/>
        <w:rPr>
          <w:rFonts w:cs="仿宋_GB2312"/>
          <w:color w:val="auto"/>
          <w:kern w:val="2"/>
          <w:sz w:val="32"/>
          <w:szCs w:val="32"/>
        </w:rPr>
      </w:pPr>
      <w:r>
        <w:rPr>
          <w:rFonts w:cs="仿宋_GB2312" w:hint="eastAsia"/>
          <w:b/>
          <w:bCs/>
          <w:sz w:val="32"/>
          <w:szCs w:val="32"/>
        </w:rPr>
        <w:t>提升社会诚信意识。</w:t>
      </w:r>
      <w:r>
        <w:rPr>
          <w:rFonts w:cs="仿宋_GB2312" w:hint="eastAsia"/>
          <w:sz w:val="32"/>
          <w:szCs w:val="32"/>
        </w:rPr>
        <w:t>开展诚信、守法和道德教育，加强法律知识和信用知识学习，增强公民诚信意识。推进“诚信</w:t>
      </w:r>
      <w:r>
        <w:rPr>
          <w:rFonts w:cs="仿宋_GB2312" w:hint="eastAsia"/>
          <w:sz w:val="32"/>
          <w:szCs w:val="32"/>
        </w:rPr>
        <w:lastRenderedPageBreak/>
        <w:t>建设万里行”主题宣传活动，利用各类媒体加强宣传引导。推动诚信文化进机关、进企业、进学校等活动，营造良好的社会诚信氛围。积极推进诚信商街、诚信商场、诚信园区、诚信示范村等示范试点建设，全面提升社会诚信意识。</w:t>
      </w:r>
    </w:p>
    <w:p w14:paraId="7D6F4587" w14:textId="77777777" w:rsidR="00501569" w:rsidRDefault="00C74794" w:rsidP="0045498C">
      <w:pPr>
        <w:spacing w:beforeLines="50" w:before="156" w:afterLines="50" w:after="156"/>
        <w:jc w:val="center"/>
        <w:outlineLvl w:val="0"/>
        <w:rPr>
          <w:rFonts w:ascii="黑体" w:eastAsia="黑体" w:hAnsi="黑体" w:cs="黑体"/>
          <w:sz w:val="32"/>
          <w:szCs w:val="32"/>
        </w:rPr>
      </w:pPr>
      <w:bookmarkStart w:id="127" w:name="_Toc9733"/>
      <w:r>
        <w:rPr>
          <w:rFonts w:ascii="黑体" w:eastAsia="黑体" w:hAnsi="黑体" w:cs="黑体" w:hint="eastAsia"/>
          <w:sz w:val="32"/>
          <w:szCs w:val="32"/>
        </w:rPr>
        <w:t>第十四章 加强文化建设，增强发展软实力</w:t>
      </w:r>
      <w:bookmarkEnd w:id="127"/>
    </w:p>
    <w:p w14:paraId="30CB3F82" w14:textId="77777777" w:rsidR="00501569" w:rsidRDefault="00C74794">
      <w:pPr>
        <w:ind w:firstLineChars="200" w:firstLine="640"/>
        <w:rPr>
          <w:rFonts w:eastAsia="仿宋_GB2312"/>
        </w:rPr>
      </w:pPr>
      <w:r>
        <w:rPr>
          <w:rFonts w:ascii="仿宋_GB2312" w:eastAsia="仿宋_GB2312" w:hAnsi="仿宋_GB2312" w:cs="仿宋_GB2312" w:hint="eastAsia"/>
          <w:sz w:val="32"/>
          <w:szCs w:val="32"/>
        </w:rPr>
        <w:t>坚持以社会主义核心价值观为引领，</w:t>
      </w:r>
      <w:r>
        <w:rPr>
          <w:rFonts w:ascii="仿宋_GB2312" w:eastAsia="仿宋_GB2312" w:hint="eastAsia"/>
          <w:sz w:val="32"/>
          <w:szCs w:val="32"/>
        </w:rPr>
        <w:t>坚持社会效益优先、社会效益和经济效益相统一，</w:t>
      </w:r>
      <w:r>
        <w:rPr>
          <w:rFonts w:ascii="仿宋_GB2312" w:eastAsia="仿宋_GB2312" w:hAnsi="仿宋_GB2312" w:cs="仿宋_GB2312" w:hint="eastAsia"/>
          <w:sz w:val="32"/>
          <w:szCs w:val="32"/>
        </w:rPr>
        <w:t>加强社会主义精神文明建设，围绕举旗帜、聚民心、育新人、兴文化、展形象使命任务</w:t>
      </w:r>
      <w:r>
        <w:rPr>
          <w:rFonts w:ascii="仿宋_GB2312" w:hAnsi="仿宋_GB2312" w:cs="仿宋_GB2312" w:hint="eastAsia"/>
          <w:sz w:val="32"/>
          <w:szCs w:val="32"/>
        </w:rPr>
        <w:t>，</w:t>
      </w:r>
      <w:r>
        <w:rPr>
          <w:rFonts w:ascii="仿宋_GB2312" w:eastAsia="仿宋_GB2312" w:hAnsi="仿宋_GB2312" w:cs="仿宋_GB2312" w:hint="eastAsia"/>
          <w:sz w:val="32"/>
          <w:szCs w:val="32"/>
        </w:rPr>
        <w:t>提升公共文化服务水平，</w:t>
      </w:r>
      <w:r>
        <w:rPr>
          <w:rFonts w:ascii="仿宋_GB2312" w:eastAsia="仿宋_GB2312" w:hint="eastAsia"/>
          <w:kern w:val="0"/>
          <w:sz w:val="32"/>
          <w:szCs w:val="32"/>
        </w:rPr>
        <w:t>繁荣发展文化事业和文化产业，提高公主岭文化软实力。</w:t>
      </w:r>
    </w:p>
    <w:p w14:paraId="005034A0"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128" w:name="_Toc21078"/>
      <w:r w:rsidRPr="00650990">
        <w:rPr>
          <w:rFonts w:ascii="楷体_GB2312" w:eastAsia="楷体_GB2312" w:hAnsi="楷体_GB2312" w:cs="楷体_GB2312" w:hint="eastAsia"/>
          <w:b/>
          <w:sz w:val="32"/>
          <w:szCs w:val="32"/>
        </w:rPr>
        <w:t>第一节 提升社会文明程度</w:t>
      </w:r>
      <w:bookmarkEnd w:id="128"/>
    </w:p>
    <w:p w14:paraId="1FFF7BCD" w14:textId="77777777" w:rsidR="00501569" w:rsidRDefault="00C74794">
      <w:pPr>
        <w:widowControl/>
        <w:ind w:firstLineChars="200" w:firstLine="643"/>
        <w:rPr>
          <w:rFonts w:ascii="仿宋_GB2312" w:eastAsia="仿宋_GB2312"/>
          <w:sz w:val="32"/>
          <w:szCs w:val="32"/>
        </w:rPr>
      </w:pPr>
      <w:r>
        <w:rPr>
          <w:rFonts w:ascii="仿宋_GB2312" w:eastAsia="仿宋_GB2312" w:hint="eastAsia"/>
          <w:b/>
          <w:bCs/>
          <w:sz w:val="32"/>
          <w:szCs w:val="32"/>
        </w:rPr>
        <w:t>践行社会主义核心价值观。</w:t>
      </w:r>
      <w:r>
        <w:rPr>
          <w:rFonts w:ascii="仿宋_GB2312" w:eastAsia="仿宋_GB2312" w:hint="eastAsia"/>
          <w:sz w:val="32"/>
          <w:szCs w:val="32"/>
        </w:rPr>
        <w:t>深入开展习近平新时代中国特色社会主义思想学习教育，推进马克思主义理论研究和建设工程，加强党史、新中国史、改革开放史、社会主义发展史和爱国主义、集体主义、社会主义教育，弘扬民族精神和时代精神，引导树立正确的历史观、民族观、国家观、文化观。把社会主义核心价值观融入社会发展各方面，体现到文明城市、文明村镇、文明单位、文明家庭、文明校园创建活动各领域，转化为人民群众的情感认同和行为习惯。</w:t>
      </w:r>
    </w:p>
    <w:p w14:paraId="273D1841" w14:textId="77777777" w:rsidR="00501569" w:rsidRDefault="00C74794">
      <w:pPr>
        <w:pStyle w:val="ad"/>
        <w:ind w:firstLineChars="200" w:firstLine="643"/>
      </w:pPr>
      <w:r>
        <w:rPr>
          <w:rFonts w:ascii="仿宋_GB2312" w:eastAsia="仿宋_GB2312" w:hint="eastAsia"/>
          <w:b/>
          <w:bCs/>
          <w:sz w:val="32"/>
          <w:szCs w:val="32"/>
        </w:rPr>
        <w:t>加强思想道德建设。</w:t>
      </w:r>
      <w:r>
        <w:rPr>
          <w:rFonts w:ascii="仿宋_GB2312" w:eastAsia="仿宋_GB2312" w:hint="eastAsia"/>
          <w:sz w:val="32"/>
          <w:szCs w:val="32"/>
        </w:rPr>
        <w:t>深化群众性精神文明创建活动，加强家庭、家教、家风建设，开展移风易俗、弘扬时代新风行</w:t>
      </w:r>
      <w:r>
        <w:rPr>
          <w:rFonts w:ascii="仿宋_GB2312" w:eastAsia="仿宋_GB2312" w:hint="eastAsia"/>
          <w:sz w:val="32"/>
          <w:szCs w:val="32"/>
        </w:rPr>
        <w:lastRenderedPageBreak/>
        <w:t>动，抵制腐朽落后文化侵蚀。深入实施新时代公民道德建设工程，不断提高人民道德水准和文明素养，打造积极健康的网络文化。推动形成艰苦奋斗、勤俭节约良好社会风气，坚决反对铺张浪费。建立新时代道德约束激励村规民约，深入开展婚丧礼俗整治,坚决遏制大操大办、厚葬薄养、人情攀比、天价彩礼等陈规陋习，引领乡村文明新风尚。完善志愿服务体系，开展志愿服务关爱行动，推动形成适应新时代要求的思想观念、精神面貌、文明风尚、行为规范。</w:t>
      </w:r>
    </w:p>
    <w:p w14:paraId="6DD840FD"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sz w:val="32"/>
          <w:szCs w:val="32"/>
        </w:rPr>
      </w:pPr>
      <w:bookmarkStart w:id="129" w:name="_Toc11909"/>
      <w:r w:rsidRPr="00650990">
        <w:rPr>
          <w:rFonts w:ascii="楷体_GB2312" w:eastAsia="楷体_GB2312" w:hAnsi="楷体_GB2312" w:cs="楷体_GB2312" w:hint="eastAsia"/>
          <w:b/>
          <w:sz w:val="32"/>
          <w:szCs w:val="32"/>
        </w:rPr>
        <w:t>第二节 提升公共文化服务水平</w:t>
      </w:r>
      <w:bookmarkEnd w:id="129"/>
    </w:p>
    <w:p w14:paraId="1C421FC6" w14:textId="77777777" w:rsidR="00501569" w:rsidRDefault="00C74794">
      <w:pPr>
        <w:ind w:firstLineChars="200" w:firstLine="640"/>
        <w:rPr>
          <w:rFonts w:ascii="仿宋_GB2312" w:eastAsia="仿宋_GB2312" w:cs="宋体"/>
          <w:sz w:val="32"/>
          <w:szCs w:val="32"/>
        </w:rPr>
      </w:pPr>
      <w:r>
        <w:rPr>
          <w:rFonts w:ascii="仿宋_GB2312" w:eastAsia="仿宋_GB2312" w:hAnsi="仿宋_GB2312" w:cs="仿宋_GB2312" w:hint="eastAsia"/>
          <w:bCs/>
          <w:sz w:val="32"/>
          <w:szCs w:val="32"/>
        </w:rPr>
        <w:t>繁荣文化事业，</w:t>
      </w:r>
      <w:r>
        <w:rPr>
          <w:rFonts w:ascii="仿宋_GB2312" w:eastAsia="仿宋_GB2312" w:hAnsi="仿宋" w:cs="仿宋" w:hint="eastAsia"/>
          <w:sz w:val="32"/>
          <w:szCs w:val="32"/>
        </w:rPr>
        <w:t>加强城乡公共文化设施建设，推进建设公主岭市文体综合服务中心，扶持完善公主岭市文化馆、博物馆新馆，改（扩）建公主岭市图书馆，</w:t>
      </w:r>
      <w:r>
        <w:rPr>
          <w:rFonts w:ascii="仿宋_GB2312" w:eastAsia="仿宋_GB2312" w:hAnsi="仿宋_GB2312" w:cs="仿宋_GB2312" w:hint="eastAsia"/>
          <w:sz w:val="32"/>
          <w:szCs w:val="32"/>
        </w:rPr>
        <w:t>推进村民中心、综合文化服务中心、文化广场、村图书室等基层文化设施建设，</w:t>
      </w:r>
      <w:r>
        <w:rPr>
          <w:rFonts w:ascii="仿宋_GB2312" w:eastAsia="仿宋_GB2312" w:hAnsi="仿宋" w:cs="仿宋" w:hint="eastAsia"/>
          <w:sz w:val="32"/>
          <w:szCs w:val="32"/>
        </w:rPr>
        <w:t>到2025年，全市所有村全部建成村级文化服务中心、农村文化广场，实现县、乡、村三级文化网络全覆盖。实施文化惠民工程，广泛开展文化惠农直通车、文化进万家、送欢乐下基层等公益性品牌文化活动，围绕建党100周年等重大时间节点，推出一批高水平高质量的文艺演出活动。鼓励社会力量参与公共文化服务体系建设，完善或拓展公共文化服务提供渠道，丰富公共文化产品供给。</w:t>
      </w:r>
      <w:r>
        <w:rPr>
          <w:rFonts w:ascii="仿宋_GB2312" w:eastAsia="仿宋_GB2312" w:hAnsi="仿宋_GB2312" w:cs="仿宋_GB2312" w:hint="eastAsia"/>
          <w:sz w:val="32"/>
          <w:szCs w:val="32"/>
        </w:rPr>
        <w:t>发展文化产业，</w:t>
      </w:r>
      <w:r>
        <w:rPr>
          <w:rFonts w:ascii="仿宋_GB2312" w:eastAsia="仿宋_GB2312" w:cs="宋体" w:hint="eastAsia"/>
          <w:sz w:val="32"/>
          <w:szCs w:val="32"/>
        </w:rPr>
        <w:t>壮大文化市场主体，推动骨干文化企业多元发展，着力扶持公主岭市吉剧团有限公司等现有文化企业发展，重点抓好大型近代吉</w:t>
      </w:r>
      <w:r>
        <w:rPr>
          <w:rFonts w:ascii="仿宋_GB2312" w:eastAsia="仿宋_GB2312" w:cs="宋体" w:hint="eastAsia"/>
          <w:sz w:val="32"/>
          <w:szCs w:val="32"/>
        </w:rPr>
        <w:lastRenderedPageBreak/>
        <w:t>剧《马占山》等舞台剧亩创作和编排演出，大力发展文化旅游、文化创意、文化会展、演艺娱乐等重点产业。完成地方志编撰出版工作。</w:t>
      </w:r>
    </w:p>
    <w:p w14:paraId="2FC9BE21" w14:textId="77777777" w:rsidR="00501569" w:rsidRPr="00650990" w:rsidRDefault="00C74794" w:rsidP="0045498C">
      <w:pPr>
        <w:pStyle w:val="210"/>
        <w:spacing w:beforeLines="50" w:before="156" w:afterLines="50" w:after="156" w:line="240" w:lineRule="auto"/>
        <w:ind w:firstLineChars="0" w:firstLine="0"/>
        <w:jc w:val="center"/>
        <w:outlineLvl w:val="1"/>
        <w:rPr>
          <w:rFonts w:ascii="楷体_GB2312" w:eastAsia="楷体_GB2312" w:hAnsi="楷体_GB2312" w:cs="楷体_GB2312"/>
          <w:b/>
          <w:sz w:val="32"/>
          <w:szCs w:val="32"/>
        </w:rPr>
      </w:pPr>
      <w:bookmarkStart w:id="130" w:name="_Toc20998"/>
      <w:r w:rsidRPr="00650990">
        <w:rPr>
          <w:rFonts w:ascii="楷体_GB2312" w:eastAsia="楷体_GB2312" w:hAnsi="楷体_GB2312" w:cs="楷体_GB2312" w:hint="eastAsia"/>
          <w:b/>
          <w:sz w:val="32"/>
          <w:szCs w:val="32"/>
        </w:rPr>
        <w:t>第三节 提升城市文化软实力</w:t>
      </w:r>
      <w:bookmarkEnd w:id="130"/>
    </w:p>
    <w:p w14:paraId="698FD19A" w14:textId="77777777" w:rsidR="00501569" w:rsidRDefault="00C74794">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加强文化遗产保护传承。</w:t>
      </w:r>
      <w:r>
        <w:rPr>
          <w:rFonts w:ascii="仿宋_GB2312" w:eastAsia="仿宋_GB2312" w:hAnsi="仿宋_GB2312" w:cs="仿宋_GB2312" w:hint="eastAsia"/>
          <w:sz w:val="32"/>
          <w:szCs w:val="32"/>
        </w:rPr>
        <w:t>推动文物保护系统化、规范化和制度化，注重非遗、文物、历史文化建筑和传统村落保护，加强公主陵遗址、古长城遗址和秦家屯古城、铁北日俄建筑群等文物保护维修，打造公主陵历史文化基地。深入挖掘公主岭市非物质文化遗产项目，</w:t>
      </w:r>
      <w:r>
        <w:rPr>
          <w:rFonts w:ascii="仿宋_GB2312" w:eastAsia="仿宋_GB2312" w:hAnsi="仿宋" w:cs="仿宋" w:hint="eastAsia"/>
          <w:sz w:val="32"/>
          <w:szCs w:val="32"/>
        </w:rPr>
        <w:t>加强各民族优秀传统手工艺保护和传承，</w:t>
      </w:r>
      <w:r>
        <w:rPr>
          <w:rFonts w:ascii="仿宋_GB2312" w:eastAsia="仿宋_GB2312" w:hAnsi="仿宋_GB2312" w:cs="仿宋_GB2312" w:hint="eastAsia"/>
          <w:sz w:val="32"/>
          <w:szCs w:val="32"/>
        </w:rPr>
        <w:t>建立剪纸、刺绣、泥塑、农民画等非遗项目传习所，丰富完善非物质文化遗产资源，争创国家历史文化名城。</w:t>
      </w:r>
    </w:p>
    <w:p w14:paraId="4D68E413" w14:textId="77777777" w:rsidR="00501569" w:rsidRDefault="00C74794">
      <w:pPr>
        <w:pStyle w:val="210"/>
        <w:spacing w:line="240" w:lineRule="auto"/>
        <w:ind w:firstLine="643"/>
      </w:pPr>
      <w:r>
        <w:rPr>
          <w:rFonts w:ascii="仿宋_GB2312" w:hint="eastAsia"/>
          <w:b/>
          <w:bCs/>
          <w:sz w:val="32"/>
          <w:szCs w:val="32"/>
        </w:rPr>
        <w:t>传承红色基因。</w:t>
      </w:r>
      <w:r>
        <w:rPr>
          <w:rFonts w:ascii="仿宋_GB2312" w:hint="eastAsia"/>
          <w:sz w:val="32"/>
          <w:szCs w:val="32"/>
        </w:rPr>
        <w:t>深挖东北抗联、抗美援朝等宝贵资源，加强红色教育基地建设，讲好红色故事，赓续红色血脉。将红色基因融入社会主义核心价值观，充分挖掘时代楷模、道德模范等先进精神营养，吸收新时代精益求精的工匠精神和劳动光荣的劳模精神，弘扬在抗击新冠肺炎疫情中展现出的伟大精神力量，丰富构筑阐发红色基因的时代内涵。大力推进红色主题教育进校园、进社区、进企业、进农村，使红色基因根植于人民群众沃土之中，转化为振兴发展强大动力。</w:t>
      </w:r>
    </w:p>
    <w:p w14:paraId="4C0292A8" w14:textId="77777777" w:rsidR="00501569" w:rsidRDefault="00C74794">
      <w:pPr>
        <w:pStyle w:val="210"/>
        <w:spacing w:line="240" w:lineRule="auto"/>
        <w:ind w:firstLine="643"/>
      </w:pPr>
      <w:r>
        <w:rPr>
          <w:rFonts w:ascii="仿宋_GB2312" w:hAnsi="仿宋_GB2312" w:cs="仿宋_GB2312" w:hint="eastAsia"/>
          <w:b/>
          <w:bCs/>
          <w:sz w:val="32"/>
          <w:szCs w:val="32"/>
        </w:rPr>
        <w:t>打造城市文化品牌。</w:t>
      </w:r>
      <w:r>
        <w:rPr>
          <w:rFonts w:ascii="仿宋_GB2312" w:hAnsi="仿宋_GB2312" w:cs="仿宋_GB2312" w:hint="eastAsia"/>
          <w:sz w:val="32"/>
          <w:szCs w:val="32"/>
        </w:rPr>
        <w:t>挖掘公主岭市文化特色，努力传承公主岭文化精髓，准确表达公主岭精神特质，培育“公主文化”、“玉米文化”、“黑土地文化”、“问心文化”等具有公主</w:t>
      </w:r>
      <w:r>
        <w:rPr>
          <w:rFonts w:ascii="仿宋_GB2312" w:hAnsi="仿宋_GB2312" w:cs="仿宋_GB2312" w:hint="eastAsia"/>
          <w:sz w:val="32"/>
          <w:szCs w:val="32"/>
        </w:rPr>
        <w:lastRenderedPageBreak/>
        <w:t>岭特色的文化符号，对城市发展定位、城市精神、城市市歌、城市形象等进行设计，提升城市知名度，增强城市文化底蕴。</w:t>
      </w:r>
    </w:p>
    <w:p w14:paraId="19C10423" w14:textId="77777777" w:rsidR="00501569" w:rsidRDefault="00C74794" w:rsidP="0045498C">
      <w:pPr>
        <w:spacing w:beforeLines="50" w:before="156" w:afterLines="50" w:after="156"/>
        <w:jc w:val="center"/>
        <w:outlineLvl w:val="0"/>
        <w:rPr>
          <w:rFonts w:ascii="黑体" w:eastAsia="黑体" w:hAnsi="黑体" w:cs="黑体"/>
          <w:sz w:val="32"/>
          <w:szCs w:val="32"/>
        </w:rPr>
      </w:pPr>
      <w:bookmarkStart w:id="131" w:name="_Toc27908"/>
      <w:r>
        <w:rPr>
          <w:rFonts w:ascii="黑体" w:eastAsia="黑体" w:hAnsi="黑体" w:cs="黑体" w:hint="eastAsia"/>
          <w:sz w:val="32"/>
          <w:szCs w:val="32"/>
        </w:rPr>
        <w:t>第十五章 强化规划实施保障，奋力实现振兴目标</w:t>
      </w:r>
      <w:bookmarkEnd w:id="131"/>
    </w:p>
    <w:p w14:paraId="1CC862AC"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建立健全规划实施机制，强化统筹协调和制度保障，形成规划合力、政策合力、工作合力，确保“十四五”发展规划主要目标和战略任务顺利实现。</w:t>
      </w:r>
    </w:p>
    <w:p w14:paraId="4E7E1D8D"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32" w:name="_Toc17016"/>
      <w:bookmarkStart w:id="133" w:name="_Toc25361_WPSOffice_Level2"/>
      <w:r w:rsidRPr="00650990">
        <w:rPr>
          <w:rFonts w:ascii="楷体_GB2312" w:eastAsia="楷体_GB2312" w:hAnsi="楷体_GB2312" w:cs="楷体_GB2312" w:hint="eastAsia"/>
          <w:b/>
          <w:bCs/>
          <w:sz w:val="32"/>
          <w:szCs w:val="32"/>
        </w:rPr>
        <w:t>第一节 坚持和加强党的全面领导</w:t>
      </w:r>
      <w:bookmarkEnd w:id="132"/>
      <w:bookmarkEnd w:id="133"/>
    </w:p>
    <w:p w14:paraId="5740857C" w14:textId="77777777" w:rsidR="00501569" w:rsidRDefault="00C747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决贯彻党的基本理论、基本路线、基本方略，增强“四个意识”，坚定“四个自信”，做到“两个维护”，发挥各级党委（党组）领导核心作用，健全党领导经济社会发展的体制机制，建立健全党委研究经济社会发展战略、定期分析经济形势、出台重大政策的工作制度，提高各级领导班子和干部抓改革、促发展、保稳定水平和专业能力，把党的领导落实到“十四五”规划实施的各领域和全过程。加强对敢担当、善作为干部的激励和保护，以正确用人导向引领干事创业导向。注重发挥各民主党派、工商联和无党派人士的作用，提供建言资政和凝聚共识水平。搞好民族团结进步创建，全面贯彻党的民族政策，促进各民族共同团结奋斗、共同发展繁荣。做好新形势下宗教、侨务和对台工作，巩固和发展最广泛的爱国统一战线。发挥工会、共青团、妇联等人民团体作用，把各自联系的群众紧密凝聚在党的周围。</w:t>
      </w:r>
    </w:p>
    <w:p w14:paraId="614DC907"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34" w:name="_Toc4459_WPSOffice_Level2"/>
      <w:bookmarkStart w:id="135" w:name="_Toc27141"/>
      <w:r w:rsidRPr="00650990">
        <w:rPr>
          <w:rFonts w:ascii="楷体_GB2312" w:eastAsia="楷体_GB2312" w:hAnsi="楷体_GB2312" w:cs="楷体_GB2312" w:hint="eastAsia"/>
          <w:b/>
          <w:bCs/>
          <w:sz w:val="32"/>
          <w:szCs w:val="32"/>
        </w:rPr>
        <w:lastRenderedPageBreak/>
        <w:t>第二节 建立健全统一规划体系</w:t>
      </w:r>
      <w:bookmarkEnd w:id="134"/>
      <w:bookmarkEnd w:id="135"/>
    </w:p>
    <w:p w14:paraId="0025E95D" w14:textId="77777777" w:rsidR="00501569" w:rsidRDefault="00C74794">
      <w:pPr>
        <w:ind w:firstLineChars="200" w:firstLine="640"/>
      </w:pPr>
      <w:r>
        <w:rPr>
          <w:rFonts w:ascii="仿宋_GB2312" w:eastAsia="仿宋_GB2312" w:hAnsi="仿宋_GB2312" w:cs="仿宋_GB2312" w:hint="eastAsia"/>
          <w:sz w:val="32"/>
          <w:szCs w:val="32"/>
        </w:rPr>
        <w:t>建立以公主岭市“十四五”发展规划为统领，以空间规划为基础，以专项规划为支撑，定位准确、边界清晰、功能互补、统一衔接的规划体系。根据本规划对特定领域提出的战略任务，同步编制实施一批市级专项规划。根据本规划明确的空间战略格局、空间结构优化方向以及生产力布局安排，编制实施市级国土空间规划，强化空间开发强度管控和主要控制线落地。做深做实专项规划和国土空间规划，确保本规划确定的战略任务落地。</w:t>
      </w:r>
    </w:p>
    <w:p w14:paraId="497643C4"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36" w:name="_Toc27154"/>
      <w:bookmarkStart w:id="137" w:name="_Toc28989_WPSOffice_Level2"/>
      <w:r w:rsidRPr="00650990">
        <w:rPr>
          <w:rFonts w:ascii="楷体_GB2312" w:eastAsia="楷体_GB2312" w:hAnsi="楷体_GB2312" w:cs="楷体_GB2312" w:hint="eastAsia"/>
          <w:b/>
          <w:bCs/>
          <w:sz w:val="32"/>
          <w:szCs w:val="32"/>
        </w:rPr>
        <w:t>第三节 完善规划目标任务实施保障机制</w:t>
      </w:r>
      <w:bookmarkEnd w:id="136"/>
      <w:bookmarkEnd w:id="137"/>
    </w:p>
    <w:p w14:paraId="59128BC6" w14:textId="77777777" w:rsidR="00501569" w:rsidRDefault="00C74794">
      <w:pPr>
        <w:ind w:firstLineChars="200" w:firstLine="640"/>
        <w:rPr>
          <w:rFonts w:ascii="仿宋_GB2312" w:eastAsia="仿宋_GB2312" w:hAnsi="仿宋_GB2312" w:cs="仿宋_GB2312"/>
          <w:sz w:val="32"/>
        </w:rPr>
      </w:pPr>
      <w:r>
        <w:rPr>
          <w:rFonts w:ascii="仿宋_GB2312" w:eastAsia="仿宋_GB2312" w:hAnsi="仿宋_GB2312" w:cs="仿宋_GB2312" w:hint="eastAsia"/>
          <w:sz w:val="32"/>
        </w:rPr>
        <w:t>围绕本规划确定的约束性指标、重大工程项目、重大任务举措，明确责任主体和实施进度要求，细化制定时间表、路线图，确保如期完成。围绕本规划纲要提出的预期性目标和产业发展、结构调整等任务，完善市场机制和利益导向机制，营造良好环境，促进资金、人力、土地、技术、研发等各种要素资源高效率配置，调动各类市场主体和社会各界的积极性、主动性和创造性。完善年度计划与本规划衔接机制，将本规划确定的主要指标分解纳入年度指标体系，设置年度目标并做好年度间综合平衡，明确重大工程项目、重大任务举措的年度实施要求。</w:t>
      </w:r>
    </w:p>
    <w:p w14:paraId="3788FD6D"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38" w:name="_Toc25113_WPSOffice_Level2"/>
      <w:bookmarkStart w:id="139" w:name="_Toc31355"/>
      <w:r w:rsidRPr="00650990">
        <w:rPr>
          <w:rFonts w:ascii="楷体_GB2312" w:eastAsia="楷体_GB2312" w:hAnsi="楷体_GB2312" w:cs="楷体_GB2312" w:hint="eastAsia"/>
          <w:b/>
          <w:bCs/>
          <w:sz w:val="32"/>
          <w:szCs w:val="32"/>
        </w:rPr>
        <w:t>第四节 完善重大工程项目落地保障机制</w:t>
      </w:r>
      <w:bookmarkEnd w:id="138"/>
      <w:bookmarkEnd w:id="139"/>
    </w:p>
    <w:p w14:paraId="1D6F17EA" w14:textId="77777777" w:rsidR="00501569" w:rsidRDefault="00C74794">
      <w:pPr>
        <w:ind w:firstLineChars="200" w:firstLine="640"/>
        <w:rPr>
          <w:rFonts w:ascii="仿宋_GB2312" w:eastAsia="仿宋_GB2312" w:hAnsi="仿宋_GB2312" w:cs="仿宋_GB2312"/>
          <w:sz w:val="32"/>
        </w:rPr>
      </w:pPr>
      <w:bookmarkStart w:id="140" w:name="_Toc27889_WPSOffice_Level2"/>
      <w:bookmarkStart w:id="141" w:name="_Toc11201_WPSOffice_Level2"/>
      <w:r>
        <w:rPr>
          <w:rFonts w:ascii="仿宋_GB2312" w:eastAsia="仿宋_GB2312" w:hAnsi="仿宋_GB2312" w:cs="仿宋_GB2312" w:hint="eastAsia"/>
          <w:sz w:val="32"/>
        </w:rPr>
        <w:lastRenderedPageBreak/>
        <w:t>按照土地跟着项目走、项目跟着规划走的原则，全面加强机制、立项、用地、资金等保障，加快推进列入本规划的重大工程项目落地实施，确保规划落到实处。</w:t>
      </w:r>
      <w:r>
        <w:rPr>
          <w:rFonts w:ascii="仿宋_GB2312" w:eastAsia="仿宋_GB2312" w:hAnsi="仿宋_GB2312" w:cs="仿宋_GB2312" w:hint="eastAsia"/>
          <w:sz w:val="32"/>
          <w:szCs w:val="32"/>
        </w:rPr>
        <w:t>建立重大工程项目市领导和部门“双包保”、部门联席会议协商、年度监测评估等工作机制，纳入“项目服务中心”实行集中管理和统筹推进。</w:t>
      </w:r>
      <w:r>
        <w:rPr>
          <w:rFonts w:ascii="仿宋_GB2312" w:eastAsia="仿宋_GB2312" w:hAnsi="仿宋_GB2312" w:cs="仿宋_GB2312" w:hint="eastAsia"/>
          <w:sz w:val="32"/>
        </w:rPr>
        <w:t>探索开设重大工程项目审批“绿色通道”，优化简化用地、环评、能耗等方面审批核准程序，对具备条件的重大工程项目，加快推进用地预审和规划许可“多审、多评、多测合一”，优先保障重大工程项目规划选址和土地供应。完善重大项目要素保障，确保在征地拆迁、市政配套、水电接入、道路通平等方面优先实施。加强财政预算与规划实施的衔接协调，集中财力保障政府投资重大项目资金需求。</w:t>
      </w:r>
    </w:p>
    <w:p w14:paraId="49F53344" w14:textId="77777777" w:rsidR="00501569" w:rsidRPr="00650990" w:rsidRDefault="00C74794" w:rsidP="0045498C">
      <w:pPr>
        <w:spacing w:beforeLines="50" w:before="156" w:afterLines="50" w:after="156"/>
        <w:jc w:val="center"/>
        <w:outlineLvl w:val="1"/>
        <w:rPr>
          <w:rFonts w:ascii="楷体_GB2312" w:eastAsia="楷体_GB2312" w:hAnsi="楷体_GB2312" w:cs="楷体_GB2312"/>
          <w:b/>
          <w:bCs/>
          <w:sz w:val="32"/>
          <w:szCs w:val="32"/>
        </w:rPr>
      </w:pPr>
      <w:bookmarkStart w:id="142" w:name="_Toc31106"/>
      <w:r w:rsidRPr="00650990">
        <w:rPr>
          <w:rFonts w:ascii="楷体_GB2312" w:eastAsia="楷体_GB2312" w:hAnsi="楷体_GB2312" w:cs="楷体_GB2312" w:hint="eastAsia"/>
          <w:b/>
          <w:bCs/>
          <w:sz w:val="32"/>
          <w:szCs w:val="32"/>
        </w:rPr>
        <w:t>第五节 完善规划实施评估和调整修订机制</w:t>
      </w:r>
      <w:bookmarkEnd w:id="140"/>
      <w:bookmarkEnd w:id="141"/>
      <w:bookmarkEnd w:id="142"/>
    </w:p>
    <w:p w14:paraId="5EBC8793" w14:textId="77777777" w:rsidR="00501569" w:rsidRDefault="00C74794">
      <w:pPr>
        <w:ind w:firstLineChars="200" w:firstLine="640"/>
        <w:rPr>
          <w:rFonts w:ascii="仿宋_GB2312" w:eastAsia="仿宋_GB2312" w:hAnsi="仿宋_GB2312" w:cs="仿宋_GB2312"/>
          <w:sz w:val="32"/>
        </w:rPr>
      </w:pPr>
      <w:r>
        <w:rPr>
          <w:rFonts w:ascii="仿宋_GB2312" w:eastAsia="仿宋_GB2312" w:hAnsi="仿宋_GB2312" w:cs="仿宋_GB2312" w:hint="eastAsia"/>
          <w:sz w:val="32"/>
        </w:rPr>
        <w:t>建立健全“十四五”发展规划实施全过程评估机制，在规划实施的第三年开展中期评估、第五年开展总结评估，规划实施情况作为改进政府工作、绩效考核和干部奖惩的重要依据。强化本规划的权威性、严肃性，未经法定程序批准，不得随意调整更改。经评估确需对本规划进行调整修订时，须按照新形势新要求调整完善规划内容，重新履行法定批准程序。本规划修订后，相关市级规划相应进行调整修订，报原审批主体批准。规划实施情况作为政务信息公开的重要内容，及时公布实施进展，自觉接受人大、审计和社会监督。</w:t>
      </w:r>
    </w:p>
    <w:p w14:paraId="01AA045F" w14:textId="77777777" w:rsidR="00501569" w:rsidRDefault="00C74794">
      <w:pPr>
        <w:pStyle w:val="2"/>
        <w:spacing w:line="240" w:lineRule="auto"/>
        <w:ind w:firstLine="640"/>
        <w:rPr>
          <w:rFonts w:ascii="仿宋_GB2312" w:hAnsi="仿宋_GB2312" w:cs="仿宋_GB2312"/>
          <w:sz w:val="32"/>
          <w:szCs w:val="32"/>
        </w:rPr>
      </w:pPr>
      <w:r>
        <w:rPr>
          <w:rFonts w:ascii="仿宋_GB2312" w:hAnsi="仿宋_GB2312" w:cs="仿宋_GB2312" w:hint="eastAsia"/>
          <w:sz w:val="32"/>
          <w:szCs w:val="32"/>
        </w:rPr>
        <w:lastRenderedPageBreak/>
        <w:t>实现“十四五”时期发展目标，前景光明，任务繁重。全市广大党员和干部群众要紧密团结在以习近平同志为核心的党中央周围，万众一心，艰苦奋斗，确保在服务党和国家工作全局中体现新担当，在走出一条质量更高、效益更好、结构更优、优势充分释放的发展新路上实现新突破，在加快推动新时代吉林全面振兴、全方位振兴的征程上展现新作为。</w:t>
      </w:r>
    </w:p>
    <w:sectPr w:rsidR="00501569" w:rsidSect="004544E1">
      <w:footerReference w:type="default" r:id="rId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2C372" w14:textId="77777777" w:rsidR="00485AAC" w:rsidRDefault="00485AAC">
      <w:r>
        <w:separator/>
      </w:r>
    </w:p>
  </w:endnote>
  <w:endnote w:type="continuationSeparator" w:id="0">
    <w:p w14:paraId="69BC0700" w14:textId="77777777" w:rsidR="00485AAC" w:rsidRDefault="0048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3601ECA1-8FD3-4C6B-9006-D09B002C384A}"/>
  </w:font>
  <w:font w:name="黑体">
    <w:altName w:val="SimHei"/>
    <w:panose1 w:val="02010609060101010101"/>
    <w:charset w:val="86"/>
    <w:family w:val="modern"/>
    <w:pitch w:val="fixed"/>
    <w:sig w:usb0="800002BF" w:usb1="38CF7CFA" w:usb2="00000016" w:usb3="00000000" w:csb0="00040001" w:csb1="00000000"/>
    <w:embedRegular r:id="rId2" w:subsetted="1" w:fontKey="{B31F0D9F-07DF-477B-BECB-76405179ABFC}"/>
  </w:font>
  <w:font w:name="Cambria">
    <w:panose1 w:val="02040503050406030204"/>
    <w:charset w:val="00"/>
    <w:family w:val="roman"/>
    <w:pitch w:val="variable"/>
    <w:sig w:usb0="E00006FF" w:usb1="420024FF" w:usb2="02000000" w:usb3="00000000" w:csb0="0000019F" w:csb1="00000000"/>
  </w:font>
  <w:font w:name="楷体_GB2312">
    <w:altName w:val="微软雅黑"/>
    <w:panose1 w:val="02010609030101010101"/>
    <w:charset w:val="86"/>
    <w:family w:val="modern"/>
    <w:pitch w:val="fixed"/>
    <w:sig w:usb0="00000001" w:usb1="080E0000" w:usb2="00000010" w:usb3="00000000" w:csb0="00040000" w:csb1="00000000"/>
    <w:embedRegular r:id="rId3" w:subsetted="1" w:fontKey="{C34C3A50-1E5E-427A-A811-BEC5BDF73A57}"/>
    <w:embedBold r:id="rId4" w:subsetted="1" w:fontKey="{2AECB81A-3DDF-4281-88AD-AF556A34E89F}"/>
  </w:font>
  <w:font w:name="仿宋_GB2312">
    <w:panose1 w:val="02010609030101010101"/>
    <w:charset w:val="86"/>
    <w:family w:val="modern"/>
    <w:pitch w:val="fixed"/>
    <w:sig w:usb0="00000001" w:usb1="080E0000" w:usb2="00000010" w:usb3="00000000" w:csb0="00040000" w:csb1="00000000"/>
    <w:embedRegular r:id="rId5" w:subsetted="1" w:fontKey="{21C8EA36-EE24-42A2-A955-4691232CC92E}"/>
    <w:embedBold r:id="rId6" w:subsetted="1" w:fontKey="{46C0B034-E2F1-47AF-B2E0-07C4FAE260A9}"/>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embedRegular r:id="rId7" w:subsetted="1" w:fontKey="{5CD4CFEF-4797-4194-B73A-EE8C1B144B1E}"/>
    <w:embedBold r:id="rId8" w:subsetted="1" w:fontKey="{DDE5B2F1-76C2-4137-9ECB-D3AE42EC6905}"/>
  </w:font>
  <w:font w:name="方正小标宋简体">
    <w:panose1 w:val="02000000000000000000"/>
    <w:charset w:val="86"/>
    <w:family w:val="auto"/>
    <w:pitch w:val="variable"/>
    <w:sig w:usb0="A00002BF" w:usb1="184F6CFA" w:usb2="00000012" w:usb3="00000000" w:csb0="00040001" w:csb1="00000000"/>
    <w:embedRegular r:id="rId9" w:subsetted="1" w:fontKey="{92871C96-37F1-4067-8EB6-2C83F8B17B59}"/>
  </w:font>
  <w:font w:name="楷体">
    <w:panose1 w:val="02010609060101010101"/>
    <w:charset w:val="86"/>
    <w:family w:val="modern"/>
    <w:pitch w:val="fixed"/>
    <w:sig w:usb0="800002BF" w:usb1="38CF7CFA" w:usb2="00000016" w:usb3="00000000" w:csb0="00040001" w:csb1="00000000"/>
    <w:embedRegular r:id="rId10" w:subsetted="1" w:fontKey="{3881178B-7E0F-4F0B-A0B9-67A1534C9AD7}"/>
  </w:font>
  <w:font w:name="Tahoma">
    <w:panose1 w:val="020B0604030504040204"/>
    <w:charset w:val="00"/>
    <w:family w:val="swiss"/>
    <w:pitch w:val="variable"/>
    <w:sig w:usb0="E1002EFF" w:usb1="C000605B" w:usb2="00000029" w:usb3="00000000" w:csb0="000101FF" w:csb1="00000000"/>
    <w:embedRegular r:id="rId11" w:subsetted="1" w:fontKey="{D4C4F7FF-AAB4-4398-A079-28A6ABE2C147}"/>
  </w:font>
  <w:font w:name="微软雅黑">
    <w:panose1 w:val="020B0503020204020204"/>
    <w:charset w:val="86"/>
    <w:family w:val="swiss"/>
    <w:pitch w:val="variable"/>
    <w:sig w:usb0="80000287" w:usb1="2ACF3C50" w:usb2="00000016" w:usb3="00000000" w:csb0="0004001F" w:csb1="00000000"/>
    <w:embedBold r:id="rId12" w:subsetted="1" w:fontKey="{93EB42C4-34E2-4F87-B869-2658AB237989}"/>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07F9" w14:textId="43F7EE76" w:rsidR="00697C65" w:rsidRDefault="00830025">
    <w:pPr>
      <w:pStyle w:val="ab"/>
    </w:pPr>
    <w:r>
      <w:rPr>
        <w:noProof/>
      </w:rPr>
      <mc:AlternateContent>
        <mc:Choice Requires="wps">
          <w:drawing>
            <wp:anchor distT="0" distB="0" distL="114300" distR="114300" simplePos="0" relativeHeight="251661312" behindDoc="0" locked="0" layoutInCell="1" allowOverlap="1" wp14:anchorId="50D5268E" wp14:editId="28E067B9">
              <wp:simplePos x="0" y="0"/>
              <wp:positionH relativeFrom="margin">
                <wp:align>center</wp:align>
              </wp:positionH>
              <wp:positionV relativeFrom="paragraph">
                <wp:posOffset>0</wp:posOffset>
              </wp:positionV>
              <wp:extent cx="179705" cy="19939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99390"/>
                      </a:xfrm>
                      <a:prstGeom prst="rect">
                        <a:avLst/>
                      </a:prstGeom>
                      <a:noFill/>
                      <a:ln w="6350">
                        <a:noFill/>
                      </a:ln>
                      <a:effectLst/>
                    </wps:spPr>
                    <wps:txbx>
                      <w:txbxContent>
                        <w:p w14:paraId="391674A3" w14:textId="77777777" w:rsidR="00697C65" w:rsidRDefault="0045498C">
                          <w:pPr>
                            <w:pStyle w:val="ab"/>
                          </w:pPr>
                          <w:r>
                            <w:fldChar w:fldCharType="begin"/>
                          </w:r>
                          <w:r w:rsidR="00697C65">
                            <w:instrText xml:space="preserve"> PAGE  \* MERGEFORMAT </w:instrText>
                          </w:r>
                          <w:r>
                            <w:fldChar w:fldCharType="separate"/>
                          </w:r>
                          <w:r w:rsidR="002B77ED">
                            <w:rPr>
                              <w:noProof/>
                            </w:rPr>
                            <w:t>II</w:t>
                          </w:r>
                          <w:r>
                            <w:fldChar w:fldCharType="end"/>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type w14:anchorId="50D5268E" id="_x0000_t202" coordsize="21600,21600" o:spt="202" path="m,l,21600r21600,l21600,xe">
              <v:stroke joinstyle="miter"/>
              <v:path gradientshapeok="t" o:connecttype="rect"/>
            </v:shapetype>
            <v:shape id="文本框 2" o:spid="_x0000_s1026" type="#_x0000_t202" style="position:absolute;margin-left:0;margin-top:0;width:14.15pt;height:15.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" filled="f" stroked="f" strokeweight=".5pt">
              <v:textbox inset="0,0,0,0">
                <w:txbxContent>
                  <w:p w14:paraId="391674A3" w14:textId="77777777" w:rsidR="00697C65" w:rsidRDefault="0045498C">
                    <w:pPr>
                      <w:pStyle w:val="ab"/>
                    </w:pPr>
                    <w:r>
                      <w:fldChar w:fldCharType="begin"/>
                    </w:r>
                    <w:r w:rsidR="00697C65">
                      <w:instrText xml:space="preserve"> PAGE  \* MERGEFORMAT </w:instrText>
                    </w:r>
                    <w:r>
                      <w:fldChar w:fldCharType="separate"/>
                    </w:r>
                    <w:r w:rsidR="002B77ED">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7D02" w14:textId="08420A01" w:rsidR="00697C65" w:rsidRDefault="00830025">
    <w:pPr>
      <w:pStyle w:val="ab"/>
    </w:pPr>
    <w:r>
      <w:rPr>
        <w:noProof/>
      </w:rPr>
      <mc:AlternateContent>
        <mc:Choice Requires="wps">
          <w:drawing>
            <wp:anchor distT="0" distB="0" distL="114300" distR="114300" simplePos="0" relativeHeight="251658240" behindDoc="0" locked="0" layoutInCell="1" allowOverlap="1" wp14:anchorId="1C35053B" wp14:editId="6E6A8A21">
              <wp:simplePos x="0" y="0"/>
              <wp:positionH relativeFrom="margin">
                <wp:align>center</wp:align>
              </wp:positionH>
              <wp:positionV relativeFrom="paragraph">
                <wp:posOffset>0</wp:posOffset>
              </wp:positionV>
              <wp:extent cx="288290" cy="252095"/>
              <wp:effectExtent l="0" t="0" r="0" b="0"/>
              <wp:wrapNone/>
              <wp:docPr id="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52095"/>
                      </a:xfrm>
                      <a:prstGeom prst="rect">
                        <a:avLst/>
                      </a:prstGeom>
                      <a:noFill/>
                      <a:ln w="6350">
                        <a:noFill/>
                      </a:ln>
                      <a:effectLst/>
                    </wps:spPr>
                    <wps:txbx>
                      <w:txbxContent>
                        <w:p w14:paraId="70D93BBB" w14:textId="77777777" w:rsidR="00697C65" w:rsidRDefault="0045498C">
                          <w:pPr>
                            <w:pStyle w:val="ab"/>
                            <w:jc w:val="center"/>
                          </w:pPr>
                          <w:r>
                            <w:fldChar w:fldCharType="begin"/>
                          </w:r>
                          <w:r w:rsidR="00697C65">
                            <w:instrText xml:space="preserve"> PAGE  \* MERGEFORMAT </w:instrText>
                          </w:r>
                          <w:r>
                            <w:fldChar w:fldCharType="separate"/>
                          </w:r>
                          <w:r w:rsidR="002B77ED">
                            <w:rPr>
                              <w:noProof/>
                            </w:rPr>
                            <w:t>2</w:t>
                          </w:r>
                          <w:r>
                            <w:fldChar w:fldCharType="end"/>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type w14:anchorId="1C35053B" id="_x0000_t202" coordsize="21600,21600" o:spt="202" path="m,l,21600r21600,l21600,xe">
              <v:stroke joinstyle="miter"/>
              <v:path gradientshapeok="t" o:connecttype="rect"/>
            </v:shapetype>
            <v:shape id="文本框 3" o:spid="_x0000_s1027" type="#_x0000_t202" style="position:absolute;margin-left:0;margin-top:0;width:22.7pt;height:19.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" filled="f" stroked="f" strokeweight=".5pt">
              <v:textbox inset="0,0,0,0">
                <w:txbxContent>
                  <w:p w14:paraId="70D93BBB" w14:textId="77777777" w:rsidR="00697C65" w:rsidRDefault="0045498C">
                    <w:pPr>
                      <w:pStyle w:val="ab"/>
                      <w:jc w:val="center"/>
                    </w:pPr>
                    <w:r>
                      <w:fldChar w:fldCharType="begin"/>
                    </w:r>
                    <w:r w:rsidR="00697C65">
                      <w:instrText xml:space="preserve"> PAGE  \* MERGEFORMAT </w:instrText>
                    </w:r>
                    <w:r>
                      <w:fldChar w:fldCharType="separate"/>
                    </w:r>
                    <w:r w:rsidR="002B77ED">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EC901" w14:textId="77777777" w:rsidR="00485AAC" w:rsidRDefault="00485AAC">
      <w:r>
        <w:separator/>
      </w:r>
    </w:p>
  </w:footnote>
  <w:footnote w:type="continuationSeparator" w:id="0">
    <w:p w14:paraId="35281056" w14:textId="77777777" w:rsidR="00485AAC" w:rsidRDefault="00485A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E7"/>
    <w:rsid w:val="00000A1B"/>
    <w:rsid w:val="00001CFB"/>
    <w:rsid w:val="00007FE5"/>
    <w:rsid w:val="00020E48"/>
    <w:rsid w:val="00022368"/>
    <w:rsid w:val="00026208"/>
    <w:rsid w:val="000278DC"/>
    <w:rsid w:val="00051522"/>
    <w:rsid w:val="000552DF"/>
    <w:rsid w:val="00060821"/>
    <w:rsid w:val="00061B31"/>
    <w:rsid w:val="000669E8"/>
    <w:rsid w:val="000776AC"/>
    <w:rsid w:val="00077A61"/>
    <w:rsid w:val="00080925"/>
    <w:rsid w:val="00082768"/>
    <w:rsid w:val="000925E7"/>
    <w:rsid w:val="000967BF"/>
    <w:rsid w:val="000A31CF"/>
    <w:rsid w:val="000B253C"/>
    <w:rsid w:val="000B646B"/>
    <w:rsid w:val="000C198C"/>
    <w:rsid w:val="000D4928"/>
    <w:rsid w:val="000E0192"/>
    <w:rsid w:val="000E3F30"/>
    <w:rsid w:val="000E6365"/>
    <w:rsid w:val="000F74AA"/>
    <w:rsid w:val="001127D1"/>
    <w:rsid w:val="0012191A"/>
    <w:rsid w:val="00132BA0"/>
    <w:rsid w:val="001363B4"/>
    <w:rsid w:val="001437EB"/>
    <w:rsid w:val="00150F00"/>
    <w:rsid w:val="00156853"/>
    <w:rsid w:val="0017053B"/>
    <w:rsid w:val="00172867"/>
    <w:rsid w:val="001740D9"/>
    <w:rsid w:val="001769BC"/>
    <w:rsid w:val="00180287"/>
    <w:rsid w:val="00185FE6"/>
    <w:rsid w:val="00186121"/>
    <w:rsid w:val="001941E5"/>
    <w:rsid w:val="001973BC"/>
    <w:rsid w:val="001A29EC"/>
    <w:rsid w:val="001A6517"/>
    <w:rsid w:val="001A77A0"/>
    <w:rsid w:val="001B23D6"/>
    <w:rsid w:val="001C30F0"/>
    <w:rsid w:val="001D0F5C"/>
    <w:rsid w:val="001D7915"/>
    <w:rsid w:val="001E1C6F"/>
    <w:rsid w:val="001E3424"/>
    <w:rsid w:val="001F11A6"/>
    <w:rsid w:val="002149EA"/>
    <w:rsid w:val="00221189"/>
    <w:rsid w:val="0022507D"/>
    <w:rsid w:val="0022762D"/>
    <w:rsid w:val="00230CB7"/>
    <w:rsid w:val="00231A47"/>
    <w:rsid w:val="00236351"/>
    <w:rsid w:val="00240FBD"/>
    <w:rsid w:val="0024493E"/>
    <w:rsid w:val="002620AB"/>
    <w:rsid w:val="00262290"/>
    <w:rsid w:val="00262917"/>
    <w:rsid w:val="00262C01"/>
    <w:rsid w:val="0028054C"/>
    <w:rsid w:val="002853CD"/>
    <w:rsid w:val="00291D0E"/>
    <w:rsid w:val="002950B7"/>
    <w:rsid w:val="002959BA"/>
    <w:rsid w:val="002A36E6"/>
    <w:rsid w:val="002B0821"/>
    <w:rsid w:val="002B270B"/>
    <w:rsid w:val="002B307A"/>
    <w:rsid w:val="002B3E72"/>
    <w:rsid w:val="002B4A51"/>
    <w:rsid w:val="002B661A"/>
    <w:rsid w:val="002B7037"/>
    <w:rsid w:val="002B77ED"/>
    <w:rsid w:val="002C36FE"/>
    <w:rsid w:val="002C67E3"/>
    <w:rsid w:val="002D3C11"/>
    <w:rsid w:val="002D5217"/>
    <w:rsid w:val="002D79FE"/>
    <w:rsid w:val="002F3068"/>
    <w:rsid w:val="002F476E"/>
    <w:rsid w:val="002F511D"/>
    <w:rsid w:val="002F7C0E"/>
    <w:rsid w:val="00304792"/>
    <w:rsid w:val="00305112"/>
    <w:rsid w:val="0031392D"/>
    <w:rsid w:val="0031662E"/>
    <w:rsid w:val="00317922"/>
    <w:rsid w:val="00320836"/>
    <w:rsid w:val="00335D97"/>
    <w:rsid w:val="00341573"/>
    <w:rsid w:val="0034314A"/>
    <w:rsid w:val="00347932"/>
    <w:rsid w:val="003553D6"/>
    <w:rsid w:val="00356332"/>
    <w:rsid w:val="003575D1"/>
    <w:rsid w:val="00364BCB"/>
    <w:rsid w:val="00370453"/>
    <w:rsid w:val="00375DF9"/>
    <w:rsid w:val="00377506"/>
    <w:rsid w:val="00380060"/>
    <w:rsid w:val="00386E8A"/>
    <w:rsid w:val="00395105"/>
    <w:rsid w:val="003A2EB7"/>
    <w:rsid w:val="003A46F5"/>
    <w:rsid w:val="003A7542"/>
    <w:rsid w:val="003A793A"/>
    <w:rsid w:val="003B1A12"/>
    <w:rsid w:val="003B6484"/>
    <w:rsid w:val="003B6F32"/>
    <w:rsid w:val="003C1270"/>
    <w:rsid w:val="003C7FF3"/>
    <w:rsid w:val="003D6270"/>
    <w:rsid w:val="003E2E57"/>
    <w:rsid w:val="003E3D51"/>
    <w:rsid w:val="003E55BB"/>
    <w:rsid w:val="003F125D"/>
    <w:rsid w:val="003F2A5C"/>
    <w:rsid w:val="003F62B0"/>
    <w:rsid w:val="003F7111"/>
    <w:rsid w:val="004034E8"/>
    <w:rsid w:val="004036E8"/>
    <w:rsid w:val="00404E14"/>
    <w:rsid w:val="00412305"/>
    <w:rsid w:val="00424C85"/>
    <w:rsid w:val="00430523"/>
    <w:rsid w:val="00430E40"/>
    <w:rsid w:val="004354E4"/>
    <w:rsid w:val="00437CE5"/>
    <w:rsid w:val="004501B5"/>
    <w:rsid w:val="004544E1"/>
    <w:rsid w:val="0045498C"/>
    <w:rsid w:val="00460B90"/>
    <w:rsid w:val="004764A4"/>
    <w:rsid w:val="00485AAC"/>
    <w:rsid w:val="0048650E"/>
    <w:rsid w:val="00491E5C"/>
    <w:rsid w:val="00495330"/>
    <w:rsid w:val="004A04E1"/>
    <w:rsid w:val="004A46C3"/>
    <w:rsid w:val="004A4C91"/>
    <w:rsid w:val="004B3847"/>
    <w:rsid w:val="004B4D24"/>
    <w:rsid w:val="004E21F0"/>
    <w:rsid w:val="004E436F"/>
    <w:rsid w:val="004E4C89"/>
    <w:rsid w:val="004F52EA"/>
    <w:rsid w:val="00501569"/>
    <w:rsid w:val="00501F15"/>
    <w:rsid w:val="00507682"/>
    <w:rsid w:val="00507BFE"/>
    <w:rsid w:val="00510EA7"/>
    <w:rsid w:val="00512F92"/>
    <w:rsid w:val="00515949"/>
    <w:rsid w:val="005252E8"/>
    <w:rsid w:val="005336A3"/>
    <w:rsid w:val="005347D4"/>
    <w:rsid w:val="005374C3"/>
    <w:rsid w:val="00544E43"/>
    <w:rsid w:val="00547CA4"/>
    <w:rsid w:val="00556862"/>
    <w:rsid w:val="005575A7"/>
    <w:rsid w:val="0056409B"/>
    <w:rsid w:val="005652B5"/>
    <w:rsid w:val="005717BE"/>
    <w:rsid w:val="00577046"/>
    <w:rsid w:val="00577A8A"/>
    <w:rsid w:val="0058697E"/>
    <w:rsid w:val="005902B7"/>
    <w:rsid w:val="005A21C2"/>
    <w:rsid w:val="005A7743"/>
    <w:rsid w:val="005B510B"/>
    <w:rsid w:val="005C046A"/>
    <w:rsid w:val="005D4DDE"/>
    <w:rsid w:val="005E5410"/>
    <w:rsid w:val="005F3D78"/>
    <w:rsid w:val="00603925"/>
    <w:rsid w:val="00604B36"/>
    <w:rsid w:val="00611088"/>
    <w:rsid w:val="0061488E"/>
    <w:rsid w:val="0062762B"/>
    <w:rsid w:val="00633B68"/>
    <w:rsid w:val="006403B9"/>
    <w:rsid w:val="0064053E"/>
    <w:rsid w:val="00640AE4"/>
    <w:rsid w:val="006458DA"/>
    <w:rsid w:val="006469C7"/>
    <w:rsid w:val="00650990"/>
    <w:rsid w:val="0065221F"/>
    <w:rsid w:val="00662E32"/>
    <w:rsid w:val="0066345F"/>
    <w:rsid w:val="00663C4E"/>
    <w:rsid w:val="00680F40"/>
    <w:rsid w:val="0069399C"/>
    <w:rsid w:val="00697C65"/>
    <w:rsid w:val="006A0311"/>
    <w:rsid w:val="006A7576"/>
    <w:rsid w:val="006C7978"/>
    <w:rsid w:val="006E74AE"/>
    <w:rsid w:val="006F6EC6"/>
    <w:rsid w:val="00700D23"/>
    <w:rsid w:val="007015E6"/>
    <w:rsid w:val="00706453"/>
    <w:rsid w:val="00716354"/>
    <w:rsid w:val="00720096"/>
    <w:rsid w:val="00723619"/>
    <w:rsid w:val="00723ABD"/>
    <w:rsid w:val="00724482"/>
    <w:rsid w:val="00730AFE"/>
    <w:rsid w:val="00737E4B"/>
    <w:rsid w:val="0074282F"/>
    <w:rsid w:val="00742E02"/>
    <w:rsid w:val="00742E2F"/>
    <w:rsid w:val="007479C2"/>
    <w:rsid w:val="00753F44"/>
    <w:rsid w:val="00762C33"/>
    <w:rsid w:val="00767BF7"/>
    <w:rsid w:val="00772655"/>
    <w:rsid w:val="00784F41"/>
    <w:rsid w:val="00792BAE"/>
    <w:rsid w:val="00793919"/>
    <w:rsid w:val="0079476F"/>
    <w:rsid w:val="007A1556"/>
    <w:rsid w:val="007A7E39"/>
    <w:rsid w:val="007B1FCD"/>
    <w:rsid w:val="007B2AFB"/>
    <w:rsid w:val="007B6303"/>
    <w:rsid w:val="007C4A68"/>
    <w:rsid w:val="007D115A"/>
    <w:rsid w:val="007D4286"/>
    <w:rsid w:val="007E27FA"/>
    <w:rsid w:val="007F02F9"/>
    <w:rsid w:val="007F03A7"/>
    <w:rsid w:val="007F1C19"/>
    <w:rsid w:val="007F3D11"/>
    <w:rsid w:val="007F7591"/>
    <w:rsid w:val="008050A9"/>
    <w:rsid w:val="00817A6D"/>
    <w:rsid w:val="0082031A"/>
    <w:rsid w:val="008249EB"/>
    <w:rsid w:val="00830025"/>
    <w:rsid w:val="00832284"/>
    <w:rsid w:val="00834047"/>
    <w:rsid w:val="00835785"/>
    <w:rsid w:val="00841D52"/>
    <w:rsid w:val="00842FAA"/>
    <w:rsid w:val="00846802"/>
    <w:rsid w:val="008468FC"/>
    <w:rsid w:val="00852DE9"/>
    <w:rsid w:val="00856837"/>
    <w:rsid w:val="008605D6"/>
    <w:rsid w:val="00873EAA"/>
    <w:rsid w:val="008803E8"/>
    <w:rsid w:val="00884A90"/>
    <w:rsid w:val="00893B58"/>
    <w:rsid w:val="008961E9"/>
    <w:rsid w:val="008974A6"/>
    <w:rsid w:val="008A15FF"/>
    <w:rsid w:val="008B7DDF"/>
    <w:rsid w:val="008C488A"/>
    <w:rsid w:val="008C71C5"/>
    <w:rsid w:val="008D113F"/>
    <w:rsid w:val="008D14C2"/>
    <w:rsid w:val="008D4B15"/>
    <w:rsid w:val="008E3656"/>
    <w:rsid w:val="008E3995"/>
    <w:rsid w:val="008E4329"/>
    <w:rsid w:val="008F7794"/>
    <w:rsid w:val="00903B24"/>
    <w:rsid w:val="00914952"/>
    <w:rsid w:val="00914B68"/>
    <w:rsid w:val="0093080D"/>
    <w:rsid w:val="00930E95"/>
    <w:rsid w:val="00931D06"/>
    <w:rsid w:val="00940540"/>
    <w:rsid w:val="00947E41"/>
    <w:rsid w:val="00951CDE"/>
    <w:rsid w:val="00952739"/>
    <w:rsid w:val="00957E1A"/>
    <w:rsid w:val="00964824"/>
    <w:rsid w:val="00974DF4"/>
    <w:rsid w:val="00976909"/>
    <w:rsid w:val="0099362D"/>
    <w:rsid w:val="00996C51"/>
    <w:rsid w:val="009A32B9"/>
    <w:rsid w:val="009A3958"/>
    <w:rsid w:val="009B2780"/>
    <w:rsid w:val="009B475F"/>
    <w:rsid w:val="009C23C7"/>
    <w:rsid w:val="009C60FA"/>
    <w:rsid w:val="009D770C"/>
    <w:rsid w:val="009E1C18"/>
    <w:rsid w:val="009E34B8"/>
    <w:rsid w:val="009E4F20"/>
    <w:rsid w:val="009E5D77"/>
    <w:rsid w:val="009E66E9"/>
    <w:rsid w:val="009F1064"/>
    <w:rsid w:val="009F43B4"/>
    <w:rsid w:val="009F6CB3"/>
    <w:rsid w:val="00A06AC8"/>
    <w:rsid w:val="00A12456"/>
    <w:rsid w:val="00A247F0"/>
    <w:rsid w:val="00A302BA"/>
    <w:rsid w:val="00A33FFC"/>
    <w:rsid w:val="00A37251"/>
    <w:rsid w:val="00A47A1D"/>
    <w:rsid w:val="00A5558D"/>
    <w:rsid w:val="00A574A0"/>
    <w:rsid w:val="00A6425D"/>
    <w:rsid w:val="00A715A1"/>
    <w:rsid w:val="00A90D40"/>
    <w:rsid w:val="00A91916"/>
    <w:rsid w:val="00A96C63"/>
    <w:rsid w:val="00AA4F53"/>
    <w:rsid w:val="00AA6B40"/>
    <w:rsid w:val="00AB3C92"/>
    <w:rsid w:val="00AB417B"/>
    <w:rsid w:val="00AB41FF"/>
    <w:rsid w:val="00AC12B0"/>
    <w:rsid w:val="00AC28E6"/>
    <w:rsid w:val="00AC3FA4"/>
    <w:rsid w:val="00AD0A4A"/>
    <w:rsid w:val="00AD2FE3"/>
    <w:rsid w:val="00AD7356"/>
    <w:rsid w:val="00AF45C7"/>
    <w:rsid w:val="00B02349"/>
    <w:rsid w:val="00B02513"/>
    <w:rsid w:val="00B03FB8"/>
    <w:rsid w:val="00B07B85"/>
    <w:rsid w:val="00B1214F"/>
    <w:rsid w:val="00B134E2"/>
    <w:rsid w:val="00B22165"/>
    <w:rsid w:val="00B24481"/>
    <w:rsid w:val="00B3176D"/>
    <w:rsid w:val="00B32F67"/>
    <w:rsid w:val="00B33B84"/>
    <w:rsid w:val="00B37570"/>
    <w:rsid w:val="00B37C4A"/>
    <w:rsid w:val="00B405FE"/>
    <w:rsid w:val="00B40EA8"/>
    <w:rsid w:val="00B50B03"/>
    <w:rsid w:val="00B6425D"/>
    <w:rsid w:val="00B652E5"/>
    <w:rsid w:val="00B71F7E"/>
    <w:rsid w:val="00B73BD5"/>
    <w:rsid w:val="00B8308B"/>
    <w:rsid w:val="00B96AB9"/>
    <w:rsid w:val="00B97272"/>
    <w:rsid w:val="00BA6A91"/>
    <w:rsid w:val="00BA7663"/>
    <w:rsid w:val="00BA7D77"/>
    <w:rsid w:val="00BB4C3A"/>
    <w:rsid w:val="00BB55A2"/>
    <w:rsid w:val="00BB5D7F"/>
    <w:rsid w:val="00BD0020"/>
    <w:rsid w:val="00BD25A5"/>
    <w:rsid w:val="00BD7833"/>
    <w:rsid w:val="00BE3842"/>
    <w:rsid w:val="00BE525F"/>
    <w:rsid w:val="00BE7621"/>
    <w:rsid w:val="00BF2E1C"/>
    <w:rsid w:val="00C0149C"/>
    <w:rsid w:val="00C041BE"/>
    <w:rsid w:val="00C064B6"/>
    <w:rsid w:val="00C15156"/>
    <w:rsid w:val="00C152D5"/>
    <w:rsid w:val="00C171D6"/>
    <w:rsid w:val="00C23CA3"/>
    <w:rsid w:val="00C24AAF"/>
    <w:rsid w:val="00C2517A"/>
    <w:rsid w:val="00C261AE"/>
    <w:rsid w:val="00C27193"/>
    <w:rsid w:val="00C43A3F"/>
    <w:rsid w:val="00C44943"/>
    <w:rsid w:val="00C53285"/>
    <w:rsid w:val="00C549DB"/>
    <w:rsid w:val="00C56AF8"/>
    <w:rsid w:val="00C61749"/>
    <w:rsid w:val="00C6340D"/>
    <w:rsid w:val="00C6491B"/>
    <w:rsid w:val="00C657A7"/>
    <w:rsid w:val="00C6606A"/>
    <w:rsid w:val="00C711D3"/>
    <w:rsid w:val="00C7370D"/>
    <w:rsid w:val="00C7413F"/>
    <w:rsid w:val="00C74794"/>
    <w:rsid w:val="00C814C4"/>
    <w:rsid w:val="00C8226C"/>
    <w:rsid w:val="00C84382"/>
    <w:rsid w:val="00C91DFD"/>
    <w:rsid w:val="00C93332"/>
    <w:rsid w:val="00CA58EA"/>
    <w:rsid w:val="00CB7816"/>
    <w:rsid w:val="00CC0BDE"/>
    <w:rsid w:val="00CC1422"/>
    <w:rsid w:val="00CC587B"/>
    <w:rsid w:val="00CC5B76"/>
    <w:rsid w:val="00CC6029"/>
    <w:rsid w:val="00CD04E2"/>
    <w:rsid w:val="00CD5132"/>
    <w:rsid w:val="00CD6CB8"/>
    <w:rsid w:val="00CE1103"/>
    <w:rsid w:val="00CE406A"/>
    <w:rsid w:val="00CE40D5"/>
    <w:rsid w:val="00CE6042"/>
    <w:rsid w:val="00CF2DDC"/>
    <w:rsid w:val="00D0114C"/>
    <w:rsid w:val="00D03E9E"/>
    <w:rsid w:val="00D04C38"/>
    <w:rsid w:val="00D126C3"/>
    <w:rsid w:val="00D17250"/>
    <w:rsid w:val="00D210AA"/>
    <w:rsid w:val="00D22B2B"/>
    <w:rsid w:val="00D233A1"/>
    <w:rsid w:val="00D31D9F"/>
    <w:rsid w:val="00D31DE6"/>
    <w:rsid w:val="00D51DCA"/>
    <w:rsid w:val="00D61C9E"/>
    <w:rsid w:val="00D70612"/>
    <w:rsid w:val="00D730E7"/>
    <w:rsid w:val="00D833D9"/>
    <w:rsid w:val="00D84921"/>
    <w:rsid w:val="00D857E4"/>
    <w:rsid w:val="00DA40B8"/>
    <w:rsid w:val="00DB2D6C"/>
    <w:rsid w:val="00DB6D23"/>
    <w:rsid w:val="00DB6E01"/>
    <w:rsid w:val="00DC2CFF"/>
    <w:rsid w:val="00DC417A"/>
    <w:rsid w:val="00DC5459"/>
    <w:rsid w:val="00DD05FF"/>
    <w:rsid w:val="00DD254C"/>
    <w:rsid w:val="00DD4B30"/>
    <w:rsid w:val="00DE6238"/>
    <w:rsid w:val="00DE7CD2"/>
    <w:rsid w:val="00DF111E"/>
    <w:rsid w:val="00DF3F6C"/>
    <w:rsid w:val="00E009E5"/>
    <w:rsid w:val="00E10B57"/>
    <w:rsid w:val="00E16561"/>
    <w:rsid w:val="00E20FC9"/>
    <w:rsid w:val="00E25012"/>
    <w:rsid w:val="00E46562"/>
    <w:rsid w:val="00E47228"/>
    <w:rsid w:val="00E511EE"/>
    <w:rsid w:val="00E5151F"/>
    <w:rsid w:val="00E56C83"/>
    <w:rsid w:val="00E57FC7"/>
    <w:rsid w:val="00E62371"/>
    <w:rsid w:val="00E655A2"/>
    <w:rsid w:val="00E65D8C"/>
    <w:rsid w:val="00E70912"/>
    <w:rsid w:val="00E777B9"/>
    <w:rsid w:val="00E82D7D"/>
    <w:rsid w:val="00E86D75"/>
    <w:rsid w:val="00E936FB"/>
    <w:rsid w:val="00E961F7"/>
    <w:rsid w:val="00EA2C7F"/>
    <w:rsid w:val="00EA3973"/>
    <w:rsid w:val="00EA6F03"/>
    <w:rsid w:val="00EB2737"/>
    <w:rsid w:val="00EB2F11"/>
    <w:rsid w:val="00EB323A"/>
    <w:rsid w:val="00EB61B1"/>
    <w:rsid w:val="00EB7530"/>
    <w:rsid w:val="00EC3C39"/>
    <w:rsid w:val="00EC495A"/>
    <w:rsid w:val="00EC72AA"/>
    <w:rsid w:val="00EC7331"/>
    <w:rsid w:val="00ED09B0"/>
    <w:rsid w:val="00ED3343"/>
    <w:rsid w:val="00EE1A48"/>
    <w:rsid w:val="00EE4A3A"/>
    <w:rsid w:val="00EF0271"/>
    <w:rsid w:val="00EF4739"/>
    <w:rsid w:val="00F069F6"/>
    <w:rsid w:val="00F13002"/>
    <w:rsid w:val="00F1429A"/>
    <w:rsid w:val="00F165B1"/>
    <w:rsid w:val="00F173BF"/>
    <w:rsid w:val="00F17422"/>
    <w:rsid w:val="00F24C0F"/>
    <w:rsid w:val="00F3168B"/>
    <w:rsid w:val="00F3283D"/>
    <w:rsid w:val="00F415DB"/>
    <w:rsid w:val="00F424CD"/>
    <w:rsid w:val="00F4791A"/>
    <w:rsid w:val="00F479B6"/>
    <w:rsid w:val="00F51BE2"/>
    <w:rsid w:val="00F524B8"/>
    <w:rsid w:val="00F56D65"/>
    <w:rsid w:val="00F62060"/>
    <w:rsid w:val="00F64E3C"/>
    <w:rsid w:val="00F73EAB"/>
    <w:rsid w:val="00F74BE9"/>
    <w:rsid w:val="00F8324F"/>
    <w:rsid w:val="00F87388"/>
    <w:rsid w:val="00F90601"/>
    <w:rsid w:val="00F91EBC"/>
    <w:rsid w:val="00FC44B0"/>
    <w:rsid w:val="00FC725D"/>
    <w:rsid w:val="00FE769C"/>
    <w:rsid w:val="01200A7D"/>
    <w:rsid w:val="017F0B9E"/>
    <w:rsid w:val="02D55F8D"/>
    <w:rsid w:val="036F5B7B"/>
    <w:rsid w:val="03FD24E1"/>
    <w:rsid w:val="04290FD7"/>
    <w:rsid w:val="04314F9F"/>
    <w:rsid w:val="04BE7B46"/>
    <w:rsid w:val="062E6DBF"/>
    <w:rsid w:val="067E5958"/>
    <w:rsid w:val="06950428"/>
    <w:rsid w:val="07C10F1E"/>
    <w:rsid w:val="08582009"/>
    <w:rsid w:val="090378E2"/>
    <w:rsid w:val="0933007C"/>
    <w:rsid w:val="09AE1CC9"/>
    <w:rsid w:val="09F34714"/>
    <w:rsid w:val="0C1A1D15"/>
    <w:rsid w:val="0C78388D"/>
    <w:rsid w:val="0CF26FAA"/>
    <w:rsid w:val="0D794CB6"/>
    <w:rsid w:val="0E896E59"/>
    <w:rsid w:val="0EE142B5"/>
    <w:rsid w:val="0EFF7A22"/>
    <w:rsid w:val="0F541AFF"/>
    <w:rsid w:val="0F9E35FB"/>
    <w:rsid w:val="0FE16FB0"/>
    <w:rsid w:val="10986ECD"/>
    <w:rsid w:val="10A94F86"/>
    <w:rsid w:val="112A7C9A"/>
    <w:rsid w:val="11572138"/>
    <w:rsid w:val="116F5C0A"/>
    <w:rsid w:val="119C4437"/>
    <w:rsid w:val="11A65D3C"/>
    <w:rsid w:val="121D10D0"/>
    <w:rsid w:val="12DF6AD0"/>
    <w:rsid w:val="133D3494"/>
    <w:rsid w:val="13DA4DCE"/>
    <w:rsid w:val="15860E3B"/>
    <w:rsid w:val="15AA3C74"/>
    <w:rsid w:val="16067C6D"/>
    <w:rsid w:val="16300499"/>
    <w:rsid w:val="164F308B"/>
    <w:rsid w:val="16921432"/>
    <w:rsid w:val="1720419C"/>
    <w:rsid w:val="175C4FC7"/>
    <w:rsid w:val="176A0F13"/>
    <w:rsid w:val="188A74AC"/>
    <w:rsid w:val="195377C0"/>
    <w:rsid w:val="1BDE3C8B"/>
    <w:rsid w:val="1C3B59B7"/>
    <w:rsid w:val="1C454636"/>
    <w:rsid w:val="1DFB192F"/>
    <w:rsid w:val="1F3610C7"/>
    <w:rsid w:val="1F682F31"/>
    <w:rsid w:val="1F683009"/>
    <w:rsid w:val="21022979"/>
    <w:rsid w:val="225E2774"/>
    <w:rsid w:val="22A926F1"/>
    <w:rsid w:val="23C138C1"/>
    <w:rsid w:val="25B3599A"/>
    <w:rsid w:val="260257A9"/>
    <w:rsid w:val="26842260"/>
    <w:rsid w:val="272F6820"/>
    <w:rsid w:val="27A86290"/>
    <w:rsid w:val="28413CDB"/>
    <w:rsid w:val="28495F5F"/>
    <w:rsid w:val="28555CDE"/>
    <w:rsid w:val="29E237BB"/>
    <w:rsid w:val="2A2477E4"/>
    <w:rsid w:val="2A5454B3"/>
    <w:rsid w:val="2A913FF7"/>
    <w:rsid w:val="2BB00742"/>
    <w:rsid w:val="2CAE5AAC"/>
    <w:rsid w:val="2CDE347C"/>
    <w:rsid w:val="2D1E576A"/>
    <w:rsid w:val="2D653FA6"/>
    <w:rsid w:val="2D6A05A2"/>
    <w:rsid w:val="2E531E11"/>
    <w:rsid w:val="2E683C79"/>
    <w:rsid w:val="2EAC7285"/>
    <w:rsid w:val="2F2C378C"/>
    <w:rsid w:val="2F5E6829"/>
    <w:rsid w:val="304C5771"/>
    <w:rsid w:val="31465EBF"/>
    <w:rsid w:val="319A18C1"/>
    <w:rsid w:val="32255C10"/>
    <w:rsid w:val="329A26BC"/>
    <w:rsid w:val="34057ACF"/>
    <w:rsid w:val="34CA64E8"/>
    <w:rsid w:val="352E3ECB"/>
    <w:rsid w:val="35D5010B"/>
    <w:rsid w:val="36337FF8"/>
    <w:rsid w:val="36B20455"/>
    <w:rsid w:val="372239B4"/>
    <w:rsid w:val="3787272D"/>
    <w:rsid w:val="388A2AEE"/>
    <w:rsid w:val="38A01E9A"/>
    <w:rsid w:val="394A5889"/>
    <w:rsid w:val="39500375"/>
    <w:rsid w:val="3AD06A21"/>
    <w:rsid w:val="3ADE3D6E"/>
    <w:rsid w:val="3B422560"/>
    <w:rsid w:val="3CA4574F"/>
    <w:rsid w:val="3CE55874"/>
    <w:rsid w:val="3D33016A"/>
    <w:rsid w:val="3D676BF5"/>
    <w:rsid w:val="3ECB1BC4"/>
    <w:rsid w:val="3F607E0C"/>
    <w:rsid w:val="3FD26A7F"/>
    <w:rsid w:val="3FE16CDC"/>
    <w:rsid w:val="3FF77913"/>
    <w:rsid w:val="40B42078"/>
    <w:rsid w:val="427408CA"/>
    <w:rsid w:val="42C4701D"/>
    <w:rsid w:val="43261194"/>
    <w:rsid w:val="443D2C9B"/>
    <w:rsid w:val="45760A19"/>
    <w:rsid w:val="45FF20C9"/>
    <w:rsid w:val="464C7906"/>
    <w:rsid w:val="46DE5531"/>
    <w:rsid w:val="48B106C4"/>
    <w:rsid w:val="48C23CB3"/>
    <w:rsid w:val="49C93903"/>
    <w:rsid w:val="49F2076A"/>
    <w:rsid w:val="4A354F56"/>
    <w:rsid w:val="4A6B3F0D"/>
    <w:rsid w:val="4B1C720F"/>
    <w:rsid w:val="4BBA02F3"/>
    <w:rsid w:val="4BC2242F"/>
    <w:rsid w:val="4BD62BF8"/>
    <w:rsid w:val="4C24661A"/>
    <w:rsid w:val="4CBC1830"/>
    <w:rsid w:val="4CE269C0"/>
    <w:rsid w:val="4D526B5B"/>
    <w:rsid w:val="4F307F95"/>
    <w:rsid w:val="4F9D6691"/>
    <w:rsid w:val="4FE51177"/>
    <w:rsid w:val="50836F92"/>
    <w:rsid w:val="509771F9"/>
    <w:rsid w:val="50FC1030"/>
    <w:rsid w:val="54035946"/>
    <w:rsid w:val="54151954"/>
    <w:rsid w:val="55DF700F"/>
    <w:rsid w:val="560A7E52"/>
    <w:rsid w:val="56176A42"/>
    <w:rsid w:val="568F0923"/>
    <w:rsid w:val="56A86FE1"/>
    <w:rsid w:val="56FA3AD4"/>
    <w:rsid w:val="57B61290"/>
    <w:rsid w:val="57E05273"/>
    <w:rsid w:val="58D67C04"/>
    <w:rsid w:val="58F9761D"/>
    <w:rsid w:val="595F1904"/>
    <w:rsid w:val="59CF526F"/>
    <w:rsid w:val="59DC6C62"/>
    <w:rsid w:val="5A287BCC"/>
    <w:rsid w:val="5B5E4138"/>
    <w:rsid w:val="5BBF0FF6"/>
    <w:rsid w:val="5BC539C9"/>
    <w:rsid w:val="5BD54DEF"/>
    <w:rsid w:val="5D1502F5"/>
    <w:rsid w:val="5D793168"/>
    <w:rsid w:val="5D7A53B8"/>
    <w:rsid w:val="5DDD7024"/>
    <w:rsid w:val="5E1225C4"/>
    <w:rsid w:val="5E1D01EA"/>
    <w:rsid w:val="5FBE051B"/>
    <w:rsid w:val="60CA3976"/>
    <w:rsid w:val="61A55F8A"/>
    <w:rsid w:val="62443452"/>
    <w:rsid w:val="62BC2441"/>
    <w:rsid w:val="6337351E"/>
    <w:rsid w:val="642E0A02"/>
    <w:rsid w:val="64912C8C"/>
    <w:rsid w:val="64D04974"/>
    <w:rsid w:val="64F4107D"/>
    <w:rsid w:val="64F94531"/>
    <w:rsid w:val="65242DA6"/>
    <w:rsid w:val="65590AC2"/>
    <w:rsid w:val="666C6803"/>
    <w:rsid w:val="66CB7D2D"/>
    <w:rsid w:val="67B1784D"/>
    <w:rsid w:val="68B358A2"/>
    <w:rsid w:val="694602CE"/>
    <w:rsid w:val="696267C1"/>
    <w:rsid w:val="69A43D3E"/>
    <w:rsid w:val="6A18111A"/>
    <w:rsid w:val="6A4C084C"/>
    <w:rsid w:val="6BD83F9B"/>
    <w:rsid w:val="6D3645D4"/>
    <w:rsid w:val="6D40057C"/>
    <w:rsid w:val="6FB548ED"/>
    <w:rsid w:val="70814DC3"/>
    <w:rsid w:val="70F40299"/>
    <w:rsid w:val="71CF66EA"/>
    <w:rsid w:val="7223698D"/>
    <w:rsid w:val="722E1EEC"/>
    <w:rsid w:val="72CA7328"/>
    <w:rsid w:val="72DB5DF7"/>
    <w:rsid w:val="7359268D"/>
    <w:rsid w:val="735B3159"/>
    <w:rsid w:val="73A47DCF"/>
    <w:rsid w:val="757E7570"/>
    <w:rsid w:val="75A114FF"/>
    <w:rsid w:val="76236C94"/>
    <w:rsid w:val="76A1069D"/>
    <w:rsid w:val="76ED3CE0"/>
    <w:rsid w:val="7718223B"/>
    <w:rsid w:val="78974D21"/>
    <w:rsid w:val="799F5258"/>
    <w:rsid w:val="7A675FF9"/>
    <w:rsid w:val="7AA03525"/>
    <w:rsid w:val="7B99766B"/>
    <w:rsid w:val="7BF97647"/>
    <w:rsid w:val="7DAA3EED"/>
    <w:rsid w:val="7DF95099"/>
    <w:rsid w:val="7E1B1B3B"/>
    <w:rsid w:val="7E65283C"/>
    <w:rsid w:val="7F9D57AB"/>
    <w:rsid w:val="7FE60F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8D8C0"/>
  <w15:docId w15:val="{BD38C6CD-F6A3-4064-854A-370FB49F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4544E1"/>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4544E1"/>
    <w:pPr>
      <w:keepNext/>
      <w:keepLines/>
      <w:spacing w:beforeLines="100" w:afterLines="200"/>
      <w:jc w:val="center"/>
      <w:outlineLvl w:val="0"/>
    </w:pPr>
    <w:rPr>
      <w:rFonts w:eastAsia="黑体"/>
      <w:b/>
      <w:bCs/>
      <w:kern w:val="44"/>
      <w:sz w:val="32"/>
      <w:szCs w:val="44"/>
    </w:rPr>
  </w:style>
  <w:style w:type="paragraph" w:styleId="20">
    <w:name w:val="heading 2"/>
    <w:basedOn w:val="a"/>
    <w:next w:val="a"/>
    <w:uiPriority w:val="9"/>
    <w:qFormat/>
    <w:rsid w:val="004544E1"/>
    <w:pPr>
      <w:keepNext/>
      <w:keepLines/>
      <w:spacing w:beforeLines="100" w:afterLines="100"/>
      <w:jc w:val="center"/>
      <w:outlineLvl w:val="1"/>
    </w:pPr>
    <w:rPr>
      <w:rFonts w:ascii="Cambria" w:eastAsia="楷体_GB2312" w:hAnsi="Cambria"/>
      <w:b/>
      <w:bCs/>
      <w:sz w:val="32"/>
      <w:szCs w:val="32"/>
    </w:rPr>
  </w:style>
  <w:style w:type="paragraph" w:styleId="3">
    <w:name w:val="heading 3"/>
    <w:basedOn w:val="a"/>
    <w:next w:val="a"/>
    <w:link w:val="30"/>
    <w:qFormat/>
    <w:rsid w:val="004544E1"/>
    <w:pPr>
      <w:adjustRightInd w:val="0"/>
      <w:snapToGrid w:val="0"/>
      <w:spacing w:line="576" w:lineRule="exact"/>
      <w:ind w:firstLine="645"/>
      <w:outlineLvl w:val="2"/>
    </w:pPr>
    <w:rPr>
      <w:rFonts w:ascii="仿宋_GB2312" w:eastAsia="仿宋_GB2312"/>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1"/>
    <w:qFormat/>
    <w:rsid w:val="004544E1"/>
    <w:pPr>
      <w:spacing w:after="0" w:line="600" w:lineRule="exact"/>
      <w:ind w:leftChars="0" w:left="0" w:firstLineChars="200" w:firstLine="1396"/>
    </w:pPr>
    <w:rPr>
      <w:rFonts w:ascii="Calibri" w:eastAsia="仿宋_GB2312" w:hAnsi="Calibri"/>
      <w:szCs w:val="24"/>
    </w:rPr>
  </w:style>
  <w:style w:type="paragraph" w:styleId="a3">
    <w:name w:val="Body Text Indent"/>
    <w:basedOn w:val="a"/>
    <w:qFormat/>
    <w:rsid w:val="004544E1"/>
    <w:pPr>
      <w:spacing w:after="120"/>
      <w:ind w:leftChars="200" w:left="200"/>
    </w:pPr>
    <w:rPr>
      <w:rFonts w:ascii="Times New Roman" w:eastAsia="宋体" w:hAnsi="Times New Roman" w:cs="Times New Roman"/>
    </w:rPr>
  </w:style>
  <w:style w:type="paragraph" w:styleId="a4">
    <w:name w:val="Document Map"/>
    <w:basedOn w:val="a"/>
    <w:link w:val="a5"/>
    <w:uiPriority w:val="99"/>
    <w:semiHidden/>
    <w:unhideWhenUsed/>
    <w:qFormat/>
    <w:rsid w:val="004544E1"/>
    <w:rPr>
      <w:rFonts w:ascii="宋体" w:eastAsia="宋体"/>
      <w:sz w:val="18"/>
      <w:szCs w:val="18"/>
    </w:rPr>
  </w:style>
  <w:style w:type="paragraph" w:styleId="a6">
    <w:name w:val="annotation text"/>
    <w:basedOn w:val="a"/>
    <w:link w:val="a7"/>
    <w:uiPriority w:val="99"/>
    <w:semiHidden/>
    <w:unhideWhenUsed/>
    <w:qFormat/>
    <w:rsid w:val="004544E1"/>
    <w:pPr>
      <w:jc w:val="left"/>
    </w:pPr>
  </w:style>
  <w:style w:type="paragraph" w:styleId="a8">
    <w:name w:val="Body Text"/>
    <w:basedOn w:val="a"/>
    <w:qFormat/>
    <w:rsid w:val="004544E1"/>
    <w:pPr>
      <w:spacing w:line="460" w:lineRule="exact"/>
      <w:jc w:val="left"/>
    </w:pPr>
    <w:rPr>
      <w:rFonts w:ascii="楷体_GB2312" w:eastAsia="楷体_GB2312" w:hAnsi="华文仿宋"/>
      <w:szCs w:val="28"/>
    </w:rPr>
  </w:style>
  <w:style w:type="paragraph" w:styleId="a9">
    <w:name w:val="Balloon Text"/>
    <w:basedOn w:val="a"/>
    <w:link w:val="aa"/>
    <w:uiPriority w:val="99"/>
    <w:semiHidden/>
    <w:unhideWhenUsed/>
    <w:qFormat/>
    <w:rsid w:val="004544E1"/>
    <w:rPr>
      <w:sz w:val="18"/>
      <w:szCs w:val="18"/>
    </w:rPr>
  </w:style>
  <w:style w:type="paragraph" w:styleId="ab">
    <w:name w:val="footer"/>
    <w:basedOn w:val="a"/>
    <w:uiPriority w:val="99"/>
    <w:unhideWhenUsed/>
    <w:qFormat/>
    <w:rsid w:val="004544E1"/>
    <w:pPr>
      <w:tabs>
        <w:tab w:val="center" w:pos="4153"/>
        <w:tab w:val="right" w:pos="8306"/>
      </w:tabs>
      <w:snapToGrid w:val="0"/>
      <w:jc w:val="left"/>
    </w:pPr>
    <w:rPr>
      <w:sz w:val="18"/>
    </w:rPr>
  </w:style>
  <w:style w:type="paragraph" w:styleId="ac">
    <w:name w:val="header"/>
    <w:basedOn w:val="a"/>
    <w:uiPriority w:val="99"/>
    <w:unhideWhenUsed/>
    <w:qFormat/>
    <w:rsid w:val="004544E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rsid w:val="004544E1"/>
  </w:style>
  <w:style w:type="paragraph" w:styleId="TOC2">
    <w:name w:val="toc 2"/>
    <w:basedOn w:val="a"/>
    <w:next w:val="a"/>
    <w:uiPriority w:val="39"/>
    <w:unhideWhenUsed/>
    <w:qFormat/>
    <w:rsid w:val="004544E1"/>
    <w:pPr>
      <w:ind w:leftChars="200" w:left="420"/>
    </w:pPr>
  </w:style>
  <w:style w:type="paragraph" w:styleId="ad">
    <w:name w:val="Normal (Web)"/>
    <w:basedOn w:val="a"/>
    <w:qFormat/>
    <w:rsid w:val="004544E1"/>
    <w:rPr>
      <w:sz w:val="24"/>
    </w:rPr>
  </w:style>
  <w:style w:type="paragraph" w:styleId="ae">
    <w:name w:val="annotation subject"/>
    <w:basedOn w:val="a6"/>
    <w:next w:val="a6"/>
    <w:link w:val="af"/>
    <w:uiPriority w:val="99"/>
    <w:semiHidden/>
    <w:unhideWhenUsed/>
    <w:qFormat/>
    <w:rsid w:val="004544E1"/>
    <w:rPr>
      <w:b/>
      <w:bCs/>
    </w:rPr>
  </w:style>
  <w:style w:type="table" w:styleId="af0">
    <w:name w:val="Table Grid"/>
    <w:basedOn w:val="a1"/>
    <w:qFormat/>
    <w:rsid w:val="004544E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4544E1"/>
    <w:rPr>
      <w:b/>
      <w:bCs/>
    </w:rPr>
  </w:style>
  <w:style w:type="character" w:styleId="af2">
    <w:name w:val="Hyperlink"/>
    <w:basedOn w:val="a0"/>
    <w:uiPriority w:val="99"/>
    <w:unhideWhenUsed/>
    <w:qFormat/>
    <w:rsid w:val="004544E1"/>
    <w:rPr>
      <w:color w:val="0563C1" w:themeColor="hyperlink"/>
      <w:u w:val="single"/>
    </w:rPr>
  </w:style>
  <w:style w:type="character" w:styleId="af3">
    <w:name w:val="annotation reference"/>
    <w:basedOn w:val="a0"/>
    <w:uiPriority w:val="99"/>
    <w:semiHidden/>
    <w:unhideWhenUsed/>
    <w:qFormat/>
    <w:rsid w:val="004544E1"/>
    <w:rPr>
      <w:sz w:val="21"/>
      <w:szCs w:val="21"/>
    </w:rPr>
  </w:style>
  <w:style w:type="character" w:customStyle="1" w:styleId="CharChar1">
    <w:name w:val="Char Char1"/>
    <w:basedOn w:val="New"/>
    <w:link w:val="3New"/>
    <w:qFormat/>
    <w:rsid w:val="004544E1"/>
    <w:rPr>
      <w:rFonts w:eastAsia="宋体"/>
      <w:b/>
      <w:bCs/>
      <w:kern w:val="2"/>
      <w:sz w:val="32"/>
      <w:szCs w:val="32"/>
      <w:lang w:val="en-US" w:eastAsia="zh-CN" w:bidi="ar-SA"/>
    </w:rPr>
  </w:style>
  <w:style w:type="character" w:customStyle="1" w:styleId="New">
    <w:name w:val="默认段落字体 New"/>
    <w:link w:val="Style1"/>
    <w:qFormat/>
    <w:rsid w:val="004544E1"/>
    <w:rPr>
      <w:szCs w:val="20"/>
    </w:rPr>
  </w:style>
  <w:style w:type="paragraph" w:customStyle="1" w:styleId="Style1">
    <w:name w:val="_Style 1"/>
    <w:basedOn w:val="NewNew"/>
    <w:link w:val="New"/>
    <w:qFormat/>
    <w:rsid w:val="004544E1"/>
    <w:pPr>
      <w:widowControl/>
      <w:spacing w:after="160" w:line="240" w:lineRule="exact"/>
      <w:jc w:val="left"/>
    </w:pPr>
    <w:rPr>
      <w:szCs w:val="20"/>
    </w:rPr>
  </w:style>
  <w:style w:type="paragraph" w:customStyle="1" w:styleId="NewNew">
    <w:name w:val="正文 New New"/>
    <w:qFormat/>
    <w:rsid w:val="004544E1"/>
    <w:pPr>
      <w:widowControl w:val="0"/>
      <w:jc w:val="both"/>
    </w:pPr>
    <w:rPr>
      <w:kern w:val="2"/>
      <w:sz w:val="21"/>
      <w:szCs w:val="24"/>
    </w:rPr>
  </w:style>
  <w:style w:type="paragraph" w:customStyle="1" w:styleId="3New">
    <w:name w:val="标题 3 New"/>
    <w:basedOn w:val="NewNew"/>
    <w:next w:val="NewNew"/>
    <w:link w:val="CharChar1"/>
    <w:qFormat/>
    <w:rsid w:val="004544E1"/>
    <w:pPr>
      <w:keepNext/>
      <w:keepLines/>
      <w:spacing w:before="260" w:after="260" w:line="416" w:lineRule="auto"/>
      <w:outlineLvl w:val="2"/>
    </w:pPr>
    <w:rPr>
      <w:b/>
      <w:bCs/>
      <w:sz w:val="32"/>
      <w:szCs w:val="32"/>
    </w:rPr>
  </w:style>
  <w:style w:type="paragraph" w:customStyle="1" w:styleId="New0">
    <w:name w:val="正文 New"/>
    <w:next w:val="a"/>
    <w:qFormat/>
    <w:rsid w:val="004544E1"/>
    <w:pPr>
      <w:widowControl w:val="0"/>
      <w:jc w:val="both"/>
    </w:pPr>
    <w:rPr>
      <w:rFonts w:ascii="等线" w:eastAsia="等线" w:hAnsi="等线"/>
      <w:kern w:val="2"/>
      <w:sz w:val="21"/>
    </w:rPr>
  </w:style>
  <w:style w:type="paragraph" w:customStyle="1" w:styleId="New1">
    <w:name w:val="正文文本缩进 New"/>
    <w:basedOn w:val="New0"/>
    <w:qFormat/>
    <w:rsid w:val="004544E1"/>
    <w:pPr>
      <w:spacing w:after="120"/>
      <w:ind w:leftChars="200" w:left="200"/>
    </w:pPr>
    <w:rPr>
      <w:szCs w:val="24"/>
    </w:rPr>
  </w:style>
  <w:style w:type="paragraph" w:customStyle="1" w:styleId="Default">
    <w:name w:val="Default"/>
    <w:qFormat/>
    <w:rsid w:val="004544E1"/>
    <w:pPr>
      <w:widowControl w:val="0"/>
      <w:autoSpaceDE w:val="0"/>
      <w:autoSpaceDN w:val="0"/>
    </w:pPr>
    <w:rPr>
      <w:rFonts w:ascii="仿宋_GB2312" w:eastAsia="仿宋_GB2312" w:hAnsi="仿宋_GB2312"/>
      <w:color w:val="000000"/>
      <w:sz w:val="24"/>
    </w:rPr>
  </w:style>
  <w:style w:type="paragraph" w:styleId="af4">
    <w:name w:val="List Paragraph"/>
    <w:basedOn w:val="a"/>
    <w:uiPriority w:val="99"/>
    <w:qFormat/>
    <w:rsid w:val="004544E1"/>
    <w:pPr>
      <w:ind w:firstLineChars="200" w:firstLine="420"/>
    </w:pPr>
  </w:style>
  <w:style w:type="paragraph" w:customStyle="1" w:styleId="10">
    <w:name w:val="正文文本缩进1"/>
    <w:basedOn w:val="a"/>
    <w:qFormat/>
    <w:rsid w:val="004544E1"/>
    <w:pPr>
      <w:spacing w:after="120"/>
      <w:ind w:leftChars="200" w:left="200"/>
    </w:pPr>
    <w:rPr>
      <w:rFonts w:ascii="Times New Roman" w:eastAsia="宋体" w:hAnsi="Times New Roman" w:cs="Times New Roman"/>
    </w:rPr>
  </w:style>
  <w:style w:type="paragraph" w:customStyle="1" w:styleId="NewNewNewNew">
    <w:name w:val="正文 New New New New"/>
    <w:qFormat/>
    <w:rsid w:val="004544E1"/>
    <w:pPr>
      <w:widowControl w:val="0"/>
      <w:jc w:val="both"/>
    </w:pPr>
    <w:rPr>
      <w:rFonts w:ascii="Calibri" w:hAnsi="Calibri"/>
      <w:kern w:val="2"/>
      <w:sz w:val="21"/>
      <w:szCs w:val="22"/>
    </w:rPr>
  </w:style>
  <w:style w:type="character" w:customStyle="1" w:styleId="3Char">
    <w:name w:val="标题 3 Char"/>
    <w:qFormat/>
    <w:locked/>
    <w:rsid w:val="004544E1"/>
    <w:rPr>
      <w:rFonts w:ascii="仿宋_GB2312" w:eastAsia="仿宋_GB2312"/>
      <w:b/>
      <w:sz w:val="32"/>
      <w:szCs w:val="32"/>
    </w:rPr>
  </w:style>
  <w:style w:type="character" w:customStyle="1" w:styleId="3Char1">
    <w:name w:val="标题 3 Char1"/>
    <w:qFormat/>
    <w:locked/>
    <w:rsid w:val="004544E1"/>
    <w:rPr>
      <w:rFonts w:ascii="仿宋_GB2312" w:eastAsia="仿宋_GB2312"/>
      <w:b/>
      <w:sz w:val="32"/>
      <w:szCs w:val="32"/>
    </w:rPr>
  </w:style>
  <w:style w:type="paragraph" w:customStyle="1" w:styleId="Af5">
    <w:name w:val="正文 A"/>
    <w:qFormat/>
    <w:rsid w:val="004544E1"/>
    <w:rPr>
      <w:rFonts w:ascii="Arial Unicode MS" w:eastAsia="Arial Unicode MS" w:hAnsi="Arial Unicode MS" w:cs="Arial Unicode MS"/>
      <w:color w:val="000000"/>
      <w:sz w:val="28"/>
      <w:szCs w:val="28"/>
      <w:lang w:val="zh-TW" w:eastAsia="zh-TW"/>
    </w:rPr>
  </w:style>
  <w:style w:type="character" w:customStyle="1" w:styleId="30">
    <w:name w:val="标题 3 字符"/>
    <w:link w:val="3"/>
    <w:qFormat/>
    <w:locked/>
    <w:rsid w:val="004544E1"/>
    <w:rPr>
      <w:rFonts w:ascii="仿宋_GB2312" w:eastAsia="仿宋_GB2312"/>
      <w:b/>
      <w:sz w:val="32"/>
      <w:szCs w:val="32"/>
    </w:rPr>
  </w:style>
  <w:style w:type="paragraph" w:customStyle="1" w:styleId="WPSOffice1">
    <w:name w:val="WPSOffice手动目录 1"/>
    <w:qFormat/>
    <w:rsid w:val="004544E1"/>
  </w:style>
  <w:style w:type="paragraph" w:customStyle="1" w:styleId="WPSOffice2">
    <w:name w:val="WPSOffice手动目录 2"/>
    <w:qFormat/>
    <w:rsid w:val="004544E1"/>
    <w:pPr>
      <w:ind w:leftChars="200" w:left="200"/>
    </w:pPr>
  </w:style>
  <w:style w:type="character" w:customStyle="1" w:styleId="fontstyle01">
    <w:name w:val="fontstyle01"/>
    <w:basedOn w:val="a0"/>
    <w:qFormat/>
    <w:rsid w:val="004544E1"/>
    <w:rPr>
      <w:rFonts w:ascii="仿宋" w:eastAsia="仿宋" w:hAnsi="仿宋" w:cs="仿宋"/>
      <w:color w:val="000000"/>
      <w:sz w:val="32"/>
      <w:szCs w:val="32"/>
    </w:rPr>
  </w:style>
  <w:style w:type="character" w:customStyle="1" w:styleId="aa">
    <w:name w:val="批注框文本 字符"/>
    <w:basedOn w:val="a0"/>
    <w:link w:val="a9"/>
    <w:uiPriority w:val="99"/>
    <w:semiHidden/>
    <w:qFormat/>
    <w:rsid w:val="004544E1"/>
    <w:rPr>
      <w:rFonts w:asciiTheme="minorHAnsi" w:eastAsiaTheme="minorEastAsia" w:hAnsiTheme="minorHAnsi" w:cstheme="minorBidi"/>
      <w:kern w:val="2"/>
      <w:sz w:val="18"/>
      <w:szCs w:val="18"/>
    </w:rPr>
  </w:style>
  <w:style w:type="character" w:customStyle="1" w:styleId="a5">
    <w:name w:val="文档结构图 字符"/>
    <w:basedOn w:val="a0"/>
    <w:link w:val="a4"/>
    <w:uiPriority w:val="99"/>
    <w:semiHidden/>
    <w:qFormat/>
    <w:rsid w:val="004544E1"/>
    <w:rPr>
      <w:rFonts w:ascii="宋体" w:hAnsiTheme="minorHAnsi" w:cstheme="minorBidi"/>
      <w:kern w:val="2"/>
      <w:sz w:val="18"/>
      <w:szCs w:val="18"/>
    </w:rPr>
  </w:style>
  <w:style w:type="character" w:customStyle="1" w:styleId="21">
    <w:name w:val="正文文本首行缩进 2 字符"/>
    <w:basedOn w:val="a0"/>
    <w:link w:val="2"/>
    <w:qFormat/>
    <w:rsid w:val="004544E1"/>
    <w:rPr>
      <w:rFonts w:ascii="Calibri" w:eastAsia="仿宋_GB2312" w:hAnsi="Calibri" w:cs="Times New Roman"/>
      <w:kern w:val="2"/>
      <w:sz w:val="21"/>
      <w:szCs w:val="24"/>
    </w:rPr>
  </w:style>
  <w:style w:type="paragraph" w:customStyle="1" w:styleId="-1">
    <w:name w:val="正文-公1"/>
    <w:basedOn w:val="NewNewNew"/>
    <w:qFormat/>
    <w:rsid w:val="004544E1"/>
    <w:pPr>
      <w:ind w:firstLineChars="200" w:firstLine="200"/>
    </w:pPr>
    <w:rPr>
      <w:rFonts w:eastAsia="仿宋_GB2312"/>
      <w:sz w:val="32"/>
    </w:rPr>
  </w:style>
  <w:style w:type="paragraph" w:customStyle="1" w:styleId="NewNewNew">
    <w:name w:val="正文 New New New"/>
    <w:next w:val="-1"/>
    <w:qFormat/>
    <w:rsid w:val="004544E1"/>
    <w:pPr>
      <w:widowControl w:val="0"/>
      <w:jc w:val="both"/>
    </w:pPr>
    <w:rPr>
      <w:kern w:val="2"/>
      <w:sz w:val="21"/>
      <w:szCs w:val="24"/>
    </w:rPr>
  </w:style>
  <w:style w:type="character" w:customStyle="1" w:styleId="a7">
    <w:name w:val="批注文字 字符"/>
    <w:basedOn w:val="a0"/>
    <w:link w:val="a6"/>
    <w:uiPriority w:val="99"/>
    <w:semiHidden/>
    <w:qFormat/>
    <w:rsid w:val="004544E1"/>
    <w:rPr>
      <w:rFonts w:asciiTheme="minorHAnsi" w:eastAsiaTheme="minorEastAsia" w:hAnsiTheme="minorHAnsi" w:cstheme="minorBidi"/>
      <w:kern w:val="2"/>
      <w:sz w:val="21"/>
      <w:szCs w:val="22"/>
    </w:rPr>
  </w:style>
  <w:style w:type="character" w:customStyle="1" w:styleId="af">
    <w:name w:val="批注主题 字符"/>
    <w:basedOn w:val="a7"/>
    <w:link w:val="ae"/>
    <w:uiPriority w:val="99"/>
    <w:semiHidden/>
    <w:qFormat/>
    <w:rsid w:val="004544E1"/>
    <w:rPr>
      <w:rFonts w:asciiTheme="minorHAnsi" w:eastAsiaTheme="minorEastAsia" w:hAnsiTheme="minorHAnsi" w:cstheme="minorBidi"/>
      <w:b/>
      <w:bCs/>
      <w:kern w:val="2"/>
      <w:sz w:val="21"/>
      <w:szCs w:val="22"/>
    </w:rPr>
  </w:style>
  <w:style w:type="paragraph" w:customStyle="1" w:styleId="NewNewNewNewNewNewNewNewNewNewNewNewNewNewNewNewNewNew">
    <w:name w:val="正文 New New New New New New New New New New New New New New New New New New"/>
    <w:next w:val="a"/>
    <w:qFormat/>
    <w:rsid w:val="004544E1"/>
    <w:pPr>
      <w:widowControl w:val="0"/>
      <w:jc w:val="both"/>
    </w:pPr>
    <w:rPr>
      <w:kern w:val="2"/>
      <w:sz w:val="21"/>
      <w:szCs w:val="24"/>
    </w:rPr>
  </w:style>
  <w:style w:type="paragraph" w:customStyle="1" w:styleId="210">
    <w:name w:val="正文文本首行缩进 21"/>
    <w:basedOn w:val="22"/>
    <w:next w:val="a"/>
    <w:qFormat/>
    <w:rsid w:val="004544E1"/>
    <w:pPr>
      <w:spacing w:after="0" w:line="600" w:lineRule="exact"/>
      <w:ind w:leftChars="0" w:left="0" w:firstLineChars="200" w:firstLine="1396"/>
    </w:pPr>
    <w:rPr>
      <w:rFonts w:ascii="Calibri" w:eastAsia="仿宋_GB2312" w:hAnsi="Calibri"/>
      <w:szCs w:val="24"/>
    </w:rPr>
  </w:style>
  <w:style w:type="paragraph" w:customStyle="1" w:styleId="22">
    <w:name w:val="正文文本缩进2"/>
    <w:basedOn w:val="a"/>
    <w:next w:val="11"/>
    <w:qFormat/>
    <w:rsid w:val="004544E1"/>
    <w:pPr>
      <w:spacing w:after="120"/>
      <w:ind w:leftChars="200" w:left="200"/>
    </w:pPr>
    <w:rPr>
      <w:rFonts w:ascii="Times New Roman" w:eastAsia="宋体" w:hAnsi="Times New Roman" w:cs="Times New Roman"/>
    </w:rPr>
  </w:style>
  <w:style w:type="paragraph" w:customStyle="1" w:styleId="11">
    <w:name w:val="正文缩进1"/>
    <w:basedOn w:val="a"/>
    <w:qFormat/>
    <w:rsid w:val="004544E1"/>
    <w:pPr>
      <w:ind w:firstLineChars="200" w:firstLine="420"/>
    </w:pPr>
    <w:rPr>
      <w:rFonts w:eastAsia="仿宋"/>
      <w:sz w:val="32"/>
    </w:rPr>
  </w:style>
  <w:style w:type="paragraph" w:styleId="af6">
    <w:name w:val="Date"/>
    <w:basedOn w:val="a"/>
    <w:next w:val="a"/>
    <w:link w:val="af7"/>
    <w:uiPriority w:val="99"/>
    <w:semiHidden/>
    <w:unhideWhenUsed/>
    <w:rsid w:val="003B6484"/>
    <w:pPr>
      <w:ind w:leftChars="2500" w:left="100"/>
    </w:pPr>
  </w:style>
  <w:style w:type="character" w:customStyle="1" w:styleId="af7">
    <w:name w:val="日期 字符"/>
    <w:basedOn w:val="a0"/>
    <w:link w:val="af6"/>
    <w:uiPriority w:val="99"/>
    <w:semiHidden/>
    <w:rsid w:val="003B648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61BCBF39-3F62-4706-ABBE-A0C30E359D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9847</Words>
  <Characters>56132</Characters>
  <Application>Microsoft Office Word</Application>
  <DocSecurity>0</DocSecurity>
  <Lines>467</Lines>
  <Paragraphs>131</Paragraphs>
  <ScaleCrop>false</ScaleCrop>
  <Company>Microsoft</Company>
  <LinksUpToDate>false</LinksUpToDate>
  <CharactersWithSpaces>65848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zaibo</dc:creator>
  <cp:lastModifiedBy>   </cp:lastModifiedBy>
  <cp:revision>2</cp:revision>
  <cp:lastPrinted>2020-12-31T08:00:00Z</cp:lastPrinted>
  <dcterms:created xsi:type="dcterms:W3CDTF">2022-12-01T06:10:00Z</dcterms:created>
  <dcterms:modified xsi:type="dcterms:W3CDTF">2022-12-01T06:10:00Z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