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hint="eastAsia"/>
          <w:b/>
          <w:sz w:val="44"/>
          <w:szCs w:val="44"/>
          <w:highlight w:val="none"/>
        </w:rPr>
      </w:pPr>
      <w:bookmarkStart w:id="0" w:name="_GoBack"/>
      <w:r>
        <w:rPr>
          <w:rFonts w:hint="eastAsia"/>
          <w:b/>
          <w:sz w:val="44"/>
          <w:szCs w:val="44"/>
          <w:highlight w:val="none"/>
          <w:lang w:val="en-US" w:eastAsia="zh-CN"/>
        </w:rPr>
        <w:t>临时用地审批</w:t>
      </w:r>
      <w:r>
        <w:rPr>
          <w:rFonts w:hint="eastAsia"/>
          <w:b/>
          <w:sz w:val="44"/>
          <w:szCs w:val="44"/>
          <w:highlight w:val="none"/>
        </w:rPr>
        <w:t>事中事后监管制度</w:t>
      </w:r>
    </w:p>
    <w:p>
      <w:pPr>
        <w:rPr>
          <w:rFonts w:hint="eastAsia"/>
          <w:sz w:val="32"/>
          <w:szCs w:val="32"/>
          <w:highlight w:val="none"/>
        </w:rPr>
      </w:pPr>
    </w:p>
    <w:p>
      <w:pPr>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部门（单位）：（公章）</w:t>
      </w:r>
      <w:r>
        <w:rPr>
          <w:rFonts w:hint="eastAsia" w:ascii="仿宋_GB2312" w:hAnsi="仿宋_GB2312" w:eastAsia="仿宋_GB2312" w:cs="仿宋_GB2312"/>
          <w:sz w:val="32"/>
          <w:szCs w:val="32"/>
          <w:highlight w:val="none"/>
          <w:lang w:eastAsia="zh-CN"/>
        </w:rPr>
        <w:t>公主岭市国土局</w:t>
      </w:r>
    </w:p>
    <w:p>
      <w:pPr>
        <w:rPr>
          <w:highlight w:val="none"/>
        </w:rPr>
      </w:pPr>
    </w:p>
    <w:p>
      <w:pPr>
        <w:pStyle w:val="2"/>
        <w:widowControl/>
        <w:numPr>
          <w:ilvl w:val="0"/>
          <w:numId w:val="1"/>
        </w:numPr>
        <w:wordWrap w:val="0"/>
        <w:adjustRightInd/>
        <w:snapToGrid/>
        <w:spacing w:before="0" w:beforeAutospacing="0" w:after="0" w:afterAutospacing="0" w:line="560" w:lineRule="atLeast"/>
        <w:ind w:left="0" w:leftChars="0" w:right="0" w:firstLine="700" w:firstLineChars="200"/>
        <w:jc w:val="both"/>
        <w:textAlignment w:val="auto"/>
        <w:outlineLvl w:val="9"/>
        <w:rPr>
          <w:rFonts w:hint="eastAsia" w:ascii="黑体" w:hAnsi="黑体" w:eastAsia="黑体" w:cs="黑体"/>
          <w:spacing w:val="15"/>
          <w:sz w:val="32"/>
          <w:szCs w:val="32"/>
          <w:highlight w:val="none"/>
          <w:lang w:eastAsia="zh-CN"/>
        </w:rPr>
      </w:pPr>
      <w:r>
        <w:rPr>
          <w:rFonts w:hint="eastAsia" w:ascii="黑体" w:hAnsi="黑体" w:eastAsia="黑体" w:cs="黑体"/>
          <w:b/>
          <w:bCs/>
          <w:spacing w:val="15"/>
          <w:sz w:val="32"/>
          <w:szCs w:val="32"/>
          <w:highlight w:val="none"/>
          <w:lang w:eastAsia="zh-CN"/>
        </w:rPr>
        <w:t>监管</w:t>
      </w:r>
      <w:r>
        <w:rPr>
          <w:rFonts w:hint="eastAsia" w:ascii="黑体" w:hAnsi="黑体" w:eastAsia="黑体" w:cs="黑体"/>
          <w:b/>
          <w:bCs/>
          <w:spacing w:val="15"/>
          <w:sz w:val="32"/>
          <w:szCs w:val="32"/>
          <w:highlight w:val="none"/>
        </w:rPr>
        <w:t>对象</w:t>
      </w:r>
    </w:p>
    <w:p>
      <w:pPr>
        <w:pStyle w:val="2"/>
        <w:widowControl/>
        <w:numPr>
          <w:numId w:val="0"/>
        </w:numPr>
        <w:wordWrap w:val="0"/>
        <w:adjustRightInd/>
        <w:snapToGrid/>
        <w:spacing w:before="0" w:beforeAutospacing="0" w:after="0" w:afterAutospacing="0" w:line="560" w:lineRule="atLeast"/>
        <w:ind w:left="0" w:leftChars="0" w:right="0" w:firstLine="700" w:firstLineChars="200"/>
        <w:jc w:val="both"/>
        <w:textAlignment w:val="auto"/>
        <w:outlineLvl w:val="9"/>
        <w:rPr>
          <w:rFonts w:hint="eastAsia" w:ascii="仿宋_GB2312" w:hAnsi="仿宋_GB2312" w:eastAsia="仿宋_GB2312" w:cs="仿宋_GB2312"/>
          <w:spacing w:val="15"/>
          <w:sz w:val="32"/>
          <w:szCs w:val="32"/>
          <w:highlight w:val="none"/>
        </w:rPr>
      </w:pPr>
      <w:r>
        <w:rPr>
          <w:rFonts w:hint="eastAsia" w:ascii="仿宋_GB2312" w:hAnsi="仿宋_GB2312" w:eastAsia="仿宋_GB2312" w:cs="仿宋_GB2312"/>
          <w:spacing w:val="15"/>
          <w:sz w:val="32"/>
          <w:szCs w:val="32"/>
          <w:highlight w:val="none"/>
        </w:rPr>
        <w:t>临时用地使用者</w:t>
      </w:r>
    </w:p>
    <w:p>
      <w:pPr>
        <w:pStyle w:val="2"/>
        <w:widowControl/>
        <w:wordWrap w:val="0"/>
        <w:adjustRightInd/>
        <w:snapToGrid/>
        <w:spacing w:before="0" w:beforeAutospacing="0" w:after="0" w:afterAutospacing="0" w:line="560" w:lineRule="atLeast"/>
        <w:ind w:left="0" w:leftChars="0" w:right="0" w:firstLine="700" w:firstLineChars="200"/>
        <w:jc w:val="both"/>
        <w:textAlignment w:val="auto"/>
        <w:outlineLvl w:val="9"/>
        <w:rPr>
          <w:rFonts w:hint="eastAsia" w:ascii="黑体" w:hAnsi="黑体" w:eastAsia="黑体" w:cs="黑体"/>
          <w:b/>
          <w:bCs/>
          <w:spacing w:val="15"/>
          <w:sz w:val="32"/>
          <w:szCs w:val="32"/>
          <w:highlight w:val="none"/>
          <w:lang w:eastAsia="zh-CN"/>
        </w:rPr>
      </w:pPr>
      <w:r>
        <w:rPr>
          <w:rFonts w:hint="eastAsia" w:ascii="黑体" w:hAnsi="黑体" w:eastAsia="黑体" w:cs="黑体"/>
          <w:b/>
          <w:bCs/>
          <w:spacing w:val="15"/>
          <w:sz w:val="32"/>
          <w:szCs w:val="32"/>
          <w:highlight w:val="none"/>
        </w:rPr>
        <w:t>二、</w:t>
      </w:r>
      <w:r>
        <w:rPr>
          <w:rFonts w:hint="eastAsia" w:ascii="黑体" w:hAnsi="黑体" w:eastAsia="黑体" w:cs="黑体"/>
          <w:b/>
          <w:bCs/>
          <w:spacing w:val="15"/>
          <w:sz w:val="32"/>
          <w:szCs w:val="32"/>
          <w:highlight w:val="none"/>
          <w:lang w:eastAsia="zh-CN"/>
        </w:rPr>
        <w:t>监管</w:t>
      </w:r>
      <w:r>
        <w:rPr>
          <w:rFonts w:hint="eastAsia" w:ascii="黑体" w:hAnsi="黑体" w:eastAsia="黑体" w:cs="黑体"/>
          <w:b/>
          <w:bCs/>
          <w:spacing w:val="15"/>
          <w:sz w:val="32"/>
          <w:szCs w:val="32"/>
          <w:highlight w:val="none"/>
        </w:rPr>
        <w:t>内容</w:t>
      </w:r>
    </w:p>
    <w:p>
      <w:pPr>
        <w:pStyle w:val="2"/>
        <w:widowControl/>
        <w:wordWrap w:val="0"/>
        <w:adjustRightInd/>
        <w:snapToGrid/>
        <w:spacing w:before="0" w:beforeAutospacing="0" w:after="0" w:afterAutospacing="0" w:line="560" w:lineRule="atLeast"/>
        <w:ind w:left="0" w:leftChars="0" w:right="0" w:firstLine="700" w:firstLineChars="200"/>
        <w:jc w:val="both"/>
        <w:textAlignment w:val="auto"/>
        <w:outlineLvl w:val="9"/>
        <w:rPr>
          <w:rFonts w:hint="eastAsia" w:ascii="仿宋_GB2312" w:hAnsi="仿宋_GB2312" w:eastAsia="仿宋_GB2312" w:cs="仿宋_GB2312"/>
          <w:spacing w:val="15"/>
          <w:sz w:val="32"/>
          <w:szCs w:val="32"/>
          <w:highlight w:val="none"/>
        </w:rPr>
      </w:pPr>
      <w:r>
        <w:rPr>
          <w:rFonts w:hint="eastAsia" w:ascii="仿宋_GB2312" w:hAnsi="仿宋_GB2312" w:eastAsia="仿宋_GB2312" w:cs="仿宋_GB2312"/>
          <w:spacing w:val="15"/>
          <w:sz w:val="32"/>
          <w:szCs w:val="32"/>
          <w:highlight w:val="none"/>
        </w:rPr>
        <w:t>1、是否存在未依法建立临时用地审批档案或者档案审批核心要件缺失的行为;</w:t>
      </w:r>
    </w:p>
    <w:p>
      <w:pPr>
        <w:pStyle w:val="2"/>
        <w:widowControl/>
        <w:wordWrap w:val="0"/>
        <w:adjustRightInd/>
        <w:snapToGrid/>
        <w:spacing w:before="0" w:beforeAutospacing="0" w:after="0" w:afterAutospacing="0" w:line="560" w:lineRule="atLeast"/>
        <w:ind w:left="0" w:leftChars="0" w:right="0" w:firstLine="700" w:firstLineChars="200"/>
        <w:jc w:val="both"/>
        <w:textAlignment w:val="auto"/>
        <w:outlineLvl w:val="9"/>
        <w:rPr>
          <w:rFonts w:hint="eastAsia" w:ascii="仿宋_GB2312" w:hAnsi="仿宋_GB2312" w:eastAsia="仿宋_GB2312" w:cs="仿宋_GB2312"/>
          <w:spacing w:val="15"/>
          <w:sz w:val="32"/>
          <w:szCs w:val="32"/>
          <w:highlight w:val="none"/>
        </w:rPr>
      </w:pPr>
      <w:r>
        <w:rPr>
          <w:rFonts w:hint="eastAsia" w:ascii="仿宋_GB2312" w:hAnsi="仿宋_GB2312" w:eastAsia="仿宋_GB2312" w:cs="仿宋_GB2312"/>
          <w:spacing w:val="15"/>
          <w:sz w:val="32"/>
          <w:szCs w:val="32"/>
          <w:highlight w:val="none"/>
        </w:rPr>
        <w:t>2、是否存在不符合土地规划的范围内审批临时用地的行为;</w:t>
      </w:r>
    </w:p>
    <w:p>
      <w:pPr>
        <w:pStyle w:val="2"/>
        <w:widowControl/>
        <w:wordWrap w:val="0"/>
        <w:adjustRightInd/>
        <w:snapToGrid/>
        <w:spacing w:before="0" w:beforeAutospacing="0" w:after="0" w:afterAutospacing="0" w:line="560" w:lineRule="atLeast"/>
        <w:ind w:left="0" w:leftChars="0" w:right="0" w:firstLine="700" w:firstLineChars="200"/>
        <w:jc w:val="both"/>
        <w:textAlignment w:val="auto"/>
        <w:outlineLvl w:val="9"/>
        <w:rPr>
          <w:rFonts w:hint="eastAsia" w:ascii="仿宋_GB2312" w:hAnsi="仿宋_GB2312" w:eastAsia="仿宋_GB2312" w:cs="仿宋_GB2312"/>
          <w:spacing w:val="15"/>
          <w:sz w:val="32"/>
          <w:szCs w:val="32"/>
          <w:highlight w:val="none"/>
        </w:rPr>
      </w:pPr>
      <w:r>
        <w:rPr>
          <w:rFonts w:hint="eastAsia" w:ascii="仿宋_GB2312" w:hAnsi="仿宋_GB2312" w:eastAsia="仿宋_GB2312" w:cs="仿宋_GB2312"/>
          <w:spacing w:val="15"/>
          <w:sz w:val="32"/>
          <w:szCs w:val="32"/>
          <w:highlight w:val="none"/>
        </w:rPr>
        <w:t>3、是否存在审批位置与使用不符合的情况而未纠正的行为;</w:t>
      </w:r>
    </w:p>
    <w:p>
      <w:pPr>
        <w:pStyle w:val="2"/>
        <w:widowControl/>
        <w:wordWrap w:val="0"/>
        <w:adjustRightInd/>
        <w:snapToGrid/>
        <w:spacing w:before="0" w:beforeAutospacing="0" w:after="0" w:afterAutospacing="0" w:line="560" w:lineRule="atLeast"/>
        <w:ind w:left="0" w:leftChars="0" w:right="0" w:firstLine="700" w:firstLineChars="200"/>
        <w:jc w:val="both"/>
        <w:textAlignment w:val="auto"/>
        <w:outlineLvl w:val="9"/>
        <w:rPr>
          <w:rFonts w:hint="eastAsia" w:ascii="仿宋_GB2312" w:hAnsi="仿宋_GB2312" w:eastAsia="仿宋_GB2312" w:cs="仿宋_GB2312"/>
          <w:spacing w:val="15"/>
          <w:sz w:val="32"/>
          <w:szCs w:val="32"/>
          <w:highlight w:val="none"/>
        </w:rPr>
      </w:pPr>
      <w:r>
        <w:rPr>
          <w:rFonts w:hint="eastAsia" w:ascii="仿宋_GB2312" w:hAnsi="仿宋_GB2312" w:eastAsia="仿宋_GB2312" w:cs="仿宋_GB2312"/>
          <w:spacing w:val="15"/>
          <w:sz w:val="32"/>
          <w:szCs w:val="32"/>
          <w:highlight w:val="none"/>
        </w:rPr>
        <w:t>4、是否存在不按合同约定的用途使用土地;</w:t>
      </w:r>
    </w:p>
    <w:p>
      <w:pPr>
        <w:pStyle w:val="2"/>
        <w:widowControl/>
        <w:wordWrap w:val="0"/>
        <w:adjustRightInd/>
        <w:snapToGrid/>
        <w:spacing w:before="0" w:beforeAutospacing="0" w:after="0" w:afterAutospacing="0" w:line="560" w:lineRule="atLeast"/>
        <w:ind w:left="0" w:leftChars="0" w:right="0" w:firstLine="700" w:firstLineChars="200"/>
        <w:jc w:val="both"/>
        <w:textAlignment w:val="auto"/>
        <w:outlineLvl w:val="9"/>
        <w:rPr>
          <w:rFonts w:hint="eastAsia" w:ascii="仿宋_GB2312" w:hAnsi="仿宋_GB2312" w:eastAsia="仿宋_GB2312" w:cs="仿宋_GB2312"/>
          <w:spacing w:val="15"/>
          <w:sz w:val="32"/>
          <w:szCs w:val="32"/>
          <w:highlight w:val="none"/>
        </w:rPr>
      </w:pPr>
      <w:r>
        <w:rPr>
          <w:rFonts w:hint="eastAsia" w:ascii="仿宋_GB2312" w:hAnsi="仿宋_GB2312" w:eastAsia="仿宋_GB2312" w:cs="仿宋_GB2312"/>
          <w:spacing w:val="15"/>
          <w:sz w:val="32"/>
          <w:szCs w:val="32"/>
          <w:highlight w:val="none"/>
        </w:rPr>
        <w:t>5、是否存在在临时用地批准范围内修建永久性建筑物现象。</w:t>
      </w:r>
    </w:p>
    <w:p>
      <w:pPr>
        <w:pStyle w:val="2"/>
        <w:widowControl/>
        <w:wordWrap w:val="0"/>
        <w:adjustRightInd/>
        <w:snapToGrid/>
        <w:spacing w:before="0" w:beforeAutospacing="0" w:after="0" w:afterAutospacing="0" w:line="560" w:lineRule="atLeast"/>
        <w:ind w:left="0" w:leftChars="0" w:right="0" w:firstLine="700" w:firstLineChars="200"/>
        <w:jc w:val="both"/>
        <w:textAlignment w:val="auto"/>
        <w:outlineLvl w:val="9"/>
        <w:rPr>
          <w:rFonts w:hint="eastAsia" w:ascii="宋体" w:hAnsi="宋体" w:eastAsia="宋体" w:cs="宋体"/>
          <w:b/>
          <w:bCs/>
          <w:spacing w:val="15"/>
          <w:sz w:val="32"/>
          <w:szCs w:val="32"/>
          <w:highlight w:val="none"/>
          <w:lang w:eastAsia="zh-CN"/>
        </w:rPr>
      </w:pPr>
      <w:r>
        <w:rPr>
          <w:rFonts w:hint="eastAsia" w:ascii="宋体" w:hAnsi="宋体" w:eastAsia="宋体" w:cs="宋体"/>
          <w:b/>
          <w:bCs/>
          <w:spacing w:val="15"/>
          <w:sz w:val="32"/>
          <w:szCs w:val="32"/>
          <w:highlight w:val="none"/>
        </w:rPr>
        <w:t>三、</w:t>
      </w:r>
      <w:r>
        <w:rPr>
          <w:rFonts w:hint="eastAsia" w:ascii="宋体" w:hAnsi="宋体" w:eastAsia="宋体" w:cs="宋体"/>
          <w:b/>
          <w:bCs/>
          <w:spacing w:val="15"/>
          <w:sz w:val="32"/>
          <w:szCs w:val="32"/>
          <w:highlight w:val="none"/>
          <w:lang w:eastAsia="zh-CN"/>
        </w:rPr>
        <w:t>监管</w:t>
      </w:r>
      <w:r>
        <w:rPr>
          <w:rFonts w:hint="eastAsia" w:ascii="宋体" w:hAnsi="宋体" w:eastAsia="宋体" w:cs="宋体"/>
          <w:b/>
          <w:bCs/>
          <w:spacing w:val="15"/>
          <w:sz w:val="32"/>
          <w:szCs w:val="32"/>
          <w:highlight w:val="none"/>
        </w:rPr>
        <w:t>方式</w:t>
      </w:r>
    </w:p>
    <w:p>
      <w:pPr>
        <w:pStyle w:val="2"/>
        <w:widowControl/>
        <w:wordWrap w:val="0"/>
        <w:adjustRightInd/>
        <w:snapToGrid/>
        <w:spacing w:before="0" w:beforeAutospacing="0" w:after="0" w:afterAutospacing="0" w:line="560" w:lineRule="atLeast"/>
        <w:ind w:left="0" w:leftChars="0" w:right="0" w:firstLine="700" w:firstLineChars="200"/>
        <w:jc w:val="both"/>
        <w:textAlignment w:val="auto"/>
        <w:outlineLvl w:val="9"/>
        <w:rPr>
          <w:rFonts w:hint="eastAsia" w:ascii="仿宋_GB2312" w:hAnsi="仿宋_GB2312" w:eastAsia="仿宋_GB2312" w:cs="仿宋_GB2312"/>
          <w:spacing w:val="15"/>
          <w:sz w:val="32"/>
          <w:szCs w:val="32"/>
          <w:highlight w:val="none"/>
        </w:rPr>
      </w:pPr>
      <w:r>
        <w:rPr>
          <w:rFonts w:hint="eastAsia" w:ascii="仿宋_GB2312" w:hAnsi="仿宋_GB2312" w:eastAsia="仿宋_GB2312" w:cs="仿宋_GB2312"/>
          <w:spacing w:val="15"/>
          <w:sz w:val="32"/>
          <w:szCs w:val="32"/>
          <w:highlight w:val="none"/>
        </w:rPr>
        <w:t>(一)采取科室内部交叉检查、科室之间互查、科所协同检查方式。</w:t>
      </w:r>
    </w:p>
    <w:p>
      <w:pPr>
        <w:pStyle w:val="2"/>
        <w:widowControl/>
        <w:numPr>
          <w:ilvl w:val="0"/>
          <w:numId w:val="2"/>
        </w:numPr>
        <w:wordWrap w:val="0"/>
        <w:adjustRightInd/>
        <w:snapToGrid/>
        <w:spacing w:before="0" w:beforeAutospacing="0" w:after="0" w:afterAutospacing="0" w:line="560" w:lineRule="atLeast"/>
        <w:ind w:left="0" w:leftChars="0" w:right="0" w:firstLine="700" w:firstLineChars="200"/>
        <w:jc w:val="both"/>
        <w:textAlignment w:val="auto"/>
        <w:outlineLvl w:val="9"/>
        <w:rPr>
          <w:rFonts w:hint="eastAsia" w:ascii="仿宋_GB2312" w:hAnsi="仿宋_GB2312" w:eastAsia="仿宋_GB2312" w:cs="仿宋_GB2312"/>
          <w:spacing w:val="15"/>
          <w:sz w:val="32"/>
          <w:szCs w:val="32"/>
          <w:highlight w:val="none"/>
        </w:rPr>
      </w:pPr>
      <w:r>
        <w:rPr>
          <w:rFonts w:hint="eastAsia" w:ascii="仿宋_GB2312" w:hAnsi="仿宋_GB2312" w:eastAsia="仿宋_GB2312" w:cs="仿宋_GB2312"/>
          <w:spacing w:val="15"/>
          <w:sz w:val="32"/>
          <w:szCs w:val="32"/>
          <w:highlight w:val="none"/>
        </w:rPr>
        <w:t>由中心所负责对辖区内临时用地进行日常监督检查。</w:t>
      </w:r>
    </w:p>
    <w:p>
      <w:pPr>
        <w:pStyle w:val="2"/>
        <w:widowControl/>
        <w:numPr>
          <w:numId w:val="0"/>
        </w:numPr>
        <w:wordWrap w:val="0"/>
        <w:adjustRightInd/>
        <w:snapToGrid/>
        <w:spacing w:before="0" w:beforeAutospacing="0" w:after="0" w:afterAutospacing="0" w:line="560" w:lineRule="atLeast"/>
        <w:ind w:left="0" w:leftChars="0" w:right="0" w:firstLine="700" w:firstLineChars="200"/>
        <w:jc w:val="both"/>
        <w:textAlignment w:val="auto"/>
        <w:outlineLvl w:val="9"/>
        <w:rPr>
          <w:rFonts w:hint="eastAsia" w:ascii="仿宋_GB2312" w:hAnsi="仿宋_GB2312" w:eastAsia="仿宋_GB2312" w:cs="仿宋_GB2312"/>
          <w:spacing w:val="15"/>
          <w:sz w:val="32"/>
          <w:szCs w:val="32"/>
          <w:highlight w:val="none"/>
        </w:rPr>
      </w:pPr>
      <w:r>
        <w:rPr>
          <w:rFonts w:hint="eastAsia" w:ascii="仿宋_GB2312" w:hAnsi="仿宋_GB2312" w:eastAsia="仿宋_GB2312" w:cs="仿宋_GB2312"/>
          <w:spacing w:val="15"/>
          <w:sz w:val="32"/>
          <w:szCs w:val="32"/>
          <w:highlight w:val="none"/>
        </w:rPr>
        <w:t>(三)耕保科牵头，各中心所配合，开展统一检查和不定期抽查。</w:t>
      </w:r>
    </w:p>
    <w:p>
      <w:pPr>
        <w:pStyle w:val="2"/>
        <w:widowControl/>
        <w:wordWrap w:val="0"/>
        <w:adjustRightInd/>
        <w:snapToGrid/>
        <w:spacing w:before="0" w:beforeAutospacing="0" w:after="0" w:afterAutospacing="0" w:line="560" w:lineRule="atLeast"/>
        <w:ind w:left="0" w:leftChars="0" w:right="0" w:firstLine="700" w:firstLineChars="200"/>
        <w:jc w:val="both"/>
        <w:textAlignment w:val="auto"/>
        <w:outlineLvl w:val="9"/>
        <w:rPr>
          <w:rFonts w:hint="eastAsia" w:ascii="黑体" w:hAnsi="黑体" w:eastAsia="黑体" w:cs="黑体"/>
          <w:spacing w:val="15"/>
          <w:sz w:val="32"/>
          <w:szCs w:val="32"/>
          <w:highlight w:val="none"/>
          <w:lang w:eastAsia="zh-CN"/>
        </w:rPr>
      </w:pPr>
      <w:r>
        <w:rPr>
          <w:rFonts w:hint="eastAsia" w:ascii="黑体" w:hAnsi="黑体" w:eastAsia="黑体" w:cs="黑体"/>
          <w:b/>
          <w:bCs/>
          <w:spacing w:val="15"/>
          <w:sz w:val="32"/>
          <w:szCs w:val="32"/>
          <w:highlight w:val="none"/>
          <w:lang w:val="en-US" w:eastAsia="zh-CN"/>
        </w:rPr>
        <w:t xml:space="preserve"> </w:t>
      </w:r>
      <w:r>
        <w:rPr>
          <w:rFonts w:hint="eastAsia" w:ascii="黑体" w:hAnsi="黑体" w:eastAsia="黑体" w:cs="黑体"/>
          <w:b/>
          <w:bCs/>
          <w:spacing w:val="15"/>
          <w:sz w:val="32"/>
          <w:szCs w:val="32"/>
          <w:highlight w:val="none"/>
          <w:lang w:eastAsia="zh-CN"/>
        </w:rPr>
        <w:t>四、监管措施</w:t>
      </w:r>
    </w:p>
    <w:p>
      <w:pPr>
        <w:pStyle w:val="2"/>
        <w:widowControl/>
        <w:numPr>
          <w:numId w:val="0"/>
        </w:numPr>
        <w:wordWrap w:val="0"/>
        <w:adjustRightInd/>
        <w:snapToGrid/>
        <w:spacing w:before="0" w:beforeAutospacing="0" w:after="0" w:afterAutospacing="0" w:line="560" w:lineRule="atLeast"/>
        <w:ind w:left="0" w:leftChars="0" w:right="0" w:firstLine="700" w:firstLineChars="200"/>
        <w:jc w:val="both"/>
        <w:textAlignment w:val="auto"/>
        <w:outlineLvl w:val="9"/>
        <w:rPr>
          <w:rFonts w:hint="eastAsia" w:ascii="仿宋_GB2312" w:hAnsi="仿宋_GB2312" w:eastAsia="仿宋_GB2312" w:cs="仿宋_GB2312"/>
          <w:spacing w:val="15"/>
          <w:sz w:val="32"/>
          <w:szCs w:val="32"/>
          <w:highlight w:val="none"/>
        </w:rPr>
      </w:pPr>
      <w:r>
        <w:rPr>
          <w:rFonts w:hint="eastAsia" w:ascii="仿宋_GB2312" w:hAnsi="仿宋_GB2312" w:eastAsia="仿宋_GB2312" w:cs="仿宋_GB2312"/>
          <w:spacing w:val="15"/>
          <w:sz w:val="32"/>
          <w:szCs w:val="32"/>
          <w:highlight w:val="none"/>
        </w:rPr>
        <w:t>(一)对发现的情况进行现场反馈;</w:t>
      </w:r>
    </w:p>
    <w:p>
      <w:pPr>
        <w:pStyle w:val="2"/>
        <w:widowControl/>
        <w:numPr>
          <w:numId w:val="0"/>
        </w:numPr>
        <w:wordWrap w:val="0"/>
        <w:adjustRightInd/>
        <w:snapToGrid/>
        <w:spacing w:before="0" w:beforeAutospacing="0" w:after="0" w:afterAutospacing="0" w:line="560" w:lineRule="atLeast"/>
        <w:ind w:left="0" w:leftChars="0" w:right="0" w:firstLine="700" w:firstLineChars="200"/>
        <w:jc w:val="both"/>
        <w:textAlignment w:val="auto"/>
        <w:outlineLvl w:val="9"/>
        <w:rPr>
          <w:rFonts w:hint="eastAsia" w:ascii="仿宋_GB2312" w:hAnsi="仿宋_GB2312" w:eastAsia="仿宋_GB2312" w:cs="仿宋_GB2312"/>
          <w:spacing w:val="15"/>
          <w:sz w:val="32"/>
          <w:szCs w:val="32"/>
          <w:highlight w:val="none"/>
        </w:rPr>
      </w:pPr>
      <w:r>
        <w:rPr>
          <w:rFonts w:hint="eastAsia" w:ascii="仿宋_GB2312" w:hAnsi="仿宋_GB2312" w:eastAsia="仿宋_GB2312" w:cs="仿宋_GB2312"/>
          <w:spacing w:val="15"/>
          <w:sz w:val="32"/>
          <w:szCs w:val="32"/>
          <w:highlight w:val="none"/>
        </w:rPr>
        <w:t>(二)发现问题除责令限期改正外，应当依法采取补救措施;</w:t>
      </w:r>
    </w:p>
    <w:p>
      <w:pPr>
        <w:pStyle w:val="2"/>
        <w:widowControl/>
        <w:wordWrap w:val="0"/>
        <w:adjustRightInd/>
        <w:snapToGrid/>
        <w:spacing w:before="0" w:beforeAutospacing="0" w:after="0" w:afterAutospacing="0" w:line="560" w:lineRule="atLeast"/>
        <w:ind w:left="0" w:leftChars="0" w:right="0" w:firstLine="700" w:firstLineChars="200"/>
        <w:jc w:val="both"/>
        <w:textAlignment w:val="auto"/>
        <w:outlineLvl w:val="9"/>
        <w:rPr>
          <w:rFonts w:hint="eastAsia" w:ascii="黑体" w:hAnsi="黑体" w:eastAsia="黑体" w:cs="黑体"/>
          <w:b/>
          <w:bCs/>
          <w:spacing w:val="15"/>
          <w:sz w:val="32"/>
          <w:szCs w:val="32"/>
          <w:highlight w:val="none"/>
          <w:lang w:eastAsia="zh-CN"/>
        </w:rPr>
      </w:pPr>
      <w:r>
        <w:rPr>
          <w:rFonts w:hint="eastAsia" w:ascii="黑体" w:hAnsi="黑体" w:eastAsia="黑体" w:cs="黑体"/>
          <w:b/>
          <w:bCs/>
          <w:spacing w:val="15"/>
          <w:sz w:val="32"/>
          <w:szCs w:val="32"/>
          <w:highlight w:val="none"/>
          <w:lang w:eastAsia="zh-CN"/>
        </w:rPr>
        <w:t>五</w:t>
      </w:r>
      <w:r>
        <w:rPr>
          <w:rFonts w:hint="eastAsia" w:ascii="黑体" w:hAnsi="黑体" w:eastAsia="黑体" w:cs="黑体"/>
          <w:b/>
          <w:bCs/>
          <w:spacing w:val="15"/>
          <w:sz w:val="32"/>
          <w:szCs w:val="32"/>
          <w:highlight w:val="none"/>
        </w:rPr>
        <w:t>、</w:t>
      </w:r>
      <w:r>
        <w:rPr>
          <w:rFonts w:hint="eastAsia" w:ascii="黑体" w:hAnsi="黑体" w:eastAsia="黑体" w:cs="黑体"/>
          <w:b/>
          <w:bCs/>
          <w:spacing w:val="15"/>
          <w:sz w:val="32"/>
          <w:szCs w:val="32"/>
          <w:highlight w:val="none"/>
          <w:lang w:eastAsia="zh-CN"/>
        </w:rPr>
        <w:t>监管</w:t>
      </w:r>
      <w:r>
        <w:rPr>
          <w:rFonts w:hint="eastAsia" w:ascii="黑体" w:hAnsi="黑体" w:eastAsia="黑体" w:cs="黑体"/>
          <w:b/>
          <w:bCs/>
          <w:spacing w:val="15"/>
          <w:sz w:val="32"/>
          <w:szCs w:val="32"/>
          <w:highlight w:val="none"/>
        </w:rPr>
        <w:t>程序</w:t>
      </w:r>
    </w:p>
    <w:p>
      <w:pPr>
        <w:pStyle w:val="2"/>
        <w:widowControl/>
        <w:wordWrap w:val="0"/>
        <w:adjustRightInd/>
        <w:snapToGrid/>
        <w:spacing w:before="0" w:beforeAutospacing="0" w:after="0" w:afterAutospacing="0" w:line="560" w:lineRule="atLeast"/>
        <w:ind w:left="0" w:leftChars="0" w:right="0" w:firstLine="700" w:firstLineChars="200"/>
        <w:jc w:val="both"/>
        <w:textAlignment w:val="auto"/>
        <w:outlineLvl w:val="9"/>
        <w:rPr>
          <w:rFonts w:hint="eastAsia" w:ascii="仿宋_GB2312" w:hAnsi="仿宋_GB2312" w:eastAsia="仿宋_GB2312" w:cs="仿宋_GB2312"/>
          <w:spacing w:val="15"/>
          <w:sz w:val="32"/>
          <w:szCs w:val="32"/>
          <w:highlight w:val="none"/>
        </w:rPr>
      </w:pPr>
      <w:r>
        <w:rPr>
          <w:rFonts w:hint="eastAsia" w:ascii="仿宋_GB2312" w:hAnsi="仿宋_GB2312" w:eastAsia="仿宋_GB2312" w:cs="仿宋_GB2312"/>
          <w:spacing w:val="15"/>
          <w:sz w:val="32"/>
          <w:szCs w:val="32"/>
          <w:highlight w:val="none"/>
        </w:rPr>
        <w:t>(一)耕保科指派相关人员(包括中心所)进行检查，检查档案的完整程度、审批的规范程度等;</w:t>
      </w:r>
    </w:p>
    <w:p>
      <w:pPr>
        <w:pStyle w:val="2"/>
        <w:widowControl/>
        <w:wordWrap w:val="0"/>
        <w:adjustRightInd/>
        <w:snapToGrid/>
        <w:spacing w:before="0" w:beforeAutospacing="0" w:after="0" w:afterAutospacing="0" w:line="560" w:lineRule="atLeast"/>
        <w:ind w:left="0" w:leftChars="0" w:right="0" w:firstLine="700" w:firstLineChars="200"/>
        <w:jc w:val="both"/>
        <w:textAlignment w:val="auto"/>
        <w:outlineLvl w:val="9"/>
        <w:rPr>
          <w:rFonts w:hint="eastAsia" w:ascii="仿宋_GB2312" w:hAnsi="仿宋_GB2312" w:eastAsia="仿宋_GB2312" w:cs="仿宋_GB2312"/>
          <w:spacing w:val="15"/>
          <w:sz w:val="32"/>
          <w:szCs w:val="32"/>
          <w:highlight w:val="none"/>
        </w:rPr>
      </w:pPr>
      <w:r>
        <w:rPr>
          <w:rFonts w:hint="eastAsia" w:ascii="仿宋_GB2312" w:hAnsi="仿宋_GB2312" w:eastAsia="仿宋_GB2312" w:cs="仿宋_GB2312"/>
          <w:spacing w:val="15"/>
          <w:sz w:val="32"/>
          <w:szCs w:val="32"/>
          <w:highlight w:val="none"/>
        </w:rPr>
        <w:t xml:space="preserve">(二)检查后汇总发现的情况及时反馈; </w:t>
      </w:r>
    </w:p>
    <w:p>
      <w:pPr>
        <w:pStyle w:val="2"/>
        <w:widowControl/>
        <w:wordWrap w:val="0"/>
        <w:adjustRightInd/>
        <w:snapToGrid/>
        <w:spacing w:before="0" w:beforeAutospacing="0" w:after="0" w:afterAutospacing="0" w:line="560" w:lineRule="atLeast"/>
        <w:ind w:left="0" w:leftChars="0" w:right="0" w:firstLine="700" w:firstLineChars="200"/>
        <w:jc w:val="both"/>
        <w:textAlignment w:val="auto"/>
        <w:outlineLvl w:val="9"/>
        <w:rPr>
          <w:rFonts w:hint="eastAsia" w:ascii="仿宋_GB2312" w:hAnsi="仿宋_GB2312" w:eastAsia="仿宋_GB2312" w:cs="仿宋_GB2312"/>
          <w:spacing w:val="15"/>
          <w:sz w:val="32"/>
          <w:szCs w:val="32"/>
          <w:highlight w:val="none"/>
        </w:rPr>
      </w:pPr>
      <w:r>
        <w:rPr>
          <w:rFonts w:hint="eastAsia" w:ascii="仿宋_GB2312" w:hAnsi="仿宋_GB2312" w:eastAsia="仿宋_GB2312" w:cs="仿宋_GB2312"/>
          <w:spacing w:val="15"/>
          <w:sz w:val="32"/>
          <w:szCs w:val="32"/>
          <w:highlight w:val="none"/>
        </w:rPr>
        <w:t>(三)对发现严重问题的临时用地审批档案进行证据固定并依法作出处理。</w:t>
      </w:r>
    </w:p>
    <w:p>
      <w:pPr>
        <w:pStyle w:val="2"/>
        <w:widowControl/>
        <w:wordWrap w:val="0"/>
        <w:adjustRightInd/>
        <w:snapToGrid/>
        <w:spacing w:before="0" w:beforeAutospacing="0" w:after="0" w:afterAutospacing="0" w:line="560" w:lineRule="atLeast"/>
        <w:ind w:left="0" w:leftChars="0" w:right="0" w:firstLine="700" w:firstLineChars="200"/>
        <w:jc w:val="both"/>
        <w:textAlignment w:val="auto"/>
        <w:outlineLvl w:val="9"/>
        <w:rPr>
          <w:rFonts w:hint="eastAsia" w:ascii="黑体" w:hAnsi="黑体" w:eastAsia="黑体" w:cs="黑体"/>
          <w:b/>
          <w:bCs/>
          <w:spacing w:val="15"/>
          <w:sz w:val="32"/>
          <w:szCs w:val="32"/>
          <w:highlight w:val="none"/>
        </w:rPr>
      </w:pPr>
      <w:r>
        <w:rPr>
          <w:rFonts w:hint="eastAsia" w:ascii="黑体" w:hAnsi="黑体" w:eastAsia="黑体" w:cs="黑体"/>
          <w:b/>
          <w:bCs/>
          <w:spacing w:val="15"/>
          <w:sz w:val="32"/>
          <w:szCs w:val="32"/>
          <w:highlight w:val="none"/>
          <w:lang w:eastAsia="zh-CN"/>
        </w:rPr>
        <w:t>六</w:t>
      </w:r>
      <w:r>
        <w:rPr>
          <w:rFonts w:hint="eastAsia" w:ascii="黑体" w:hAnsi="黑体" w:eastAsia="黑体" w:cs="黑体"/>
          <w:b/>
          <w:bCs/>
          <w:spacing w:val="15"/>
          <w:sz w:val="32"/>
          <w:szCs w:val="32"/>
          <w:highlight w:val="none"/>
        </w:rPr>
        <w:t>、</w:t>
      </w:r>
      <w:r>
        <w:rPr>
          <w:rFonts w:hint="eastAsia" w:ascii="黑体" w:hAnsi="黑体" w:eastAsia="黑体" w:cs="黑体"/>
          <w:b/>
          <w:bCs/>
          <w:spacing w:val="15"/>
          <w:sz w:val="32"/>
          <w:szCs w:val="32"/>
          <w:highlight w:val="none"/>
          <w:lang w:eastAsia="zh-CN"/>
        </w:rPr>
        <w:t>违规处理</w:t>
      </w:r>
    </w:p>
    <w:p>
      <w:pPr>
        <w:pStyle w:val="2"/>
        <w:widowControl/>
        <w:wordWrap w:val="0"/>
        <w:adjustRightInd/>
        <w:snapToGrid/>
        <w:spacing w:before="0" w:beforeAutospacing="0" w:after="0" w:afterAutospacing="0" w:line="560" w:lineRule="atLeast"/>
        <w:ind w:left="0" w:leftChars="0" w:right="0" w:firstLine="700" w:firstLineChars="20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b w:val="0"/>
          <w:spacing w:val="15"/>
          <w:sz w:val="32"/>
          <w:szCs w:val="32"/>
          <w:highlight w:val="none"/>
        </w:rPr>
        <w:t>发现临时用地使用者未按照审批内容建设，产生违法用地行为的，移交执法监察科依法查处。</w:t>
      </w:r>
    </w:p>
    <w:p>
      <w:pPr>
        <w:adjustRightInd/>
        <w:snapToGrid/>
        <w:spacing w:before="0" w:after="0"/>
        <w:ind w:left="0" w:leftChars="0" w:right="0" w:firstLine="700" w:firstLineChars="200"/>
        <w:jc w:val="both"/>
        <w:textAlignment w:val="auto"/>
        <w:outlineLvl w:val="9"/>
        <w:rPr>
          <w:rFonts w:hint="eastAsia" w:ascii="仿宋_GB2312" w:hAnsi="仿宋_GB2312" w:eastAsia="仿宋_GB2312" w:cs="仿宋_GB2312"/>
          <w:sz w:val="32"/>
          <w:szCs w:val="32"/>
          <w:highlight w:val="none"/>
        </w:rPr>
      </w:pPr>
    </w:p>
    <w:p>
      <w:pPr>
        <w:adjustRightInd/>
        <w:snapToGrid/>
        <w:spacing w:before="0" w:after="0"/>
        <w:ind w:left="0" w:leftChars="0" w:right="0" w:firstLine="700" w:firstLineChars="200"/>
        <w:jc w:val="both"/>
        <w:textAlignment w:val="auto"/>
        <w:outlineLvl w:val="9"/>
        <w:rPr>
          <w:rFonts w:hint="eastAsia" w:ascii="仿宋_GB2312" w:hAnsi="仿宋_GB2312" w:eastAsia="仿宋_GB2312" w:cs="仿宋_GB2312"/>
          <w:sz w:val="32"/>
          <w:szCs w:val="32"/>
          <w:highlight w:val="none"/>
        </w:rPr>
      </w:pPr>
    </w:p>
    <w:bookmarkEnd w:id="0"/>
    <w:p>
      <w:pPr>
        <w:adjustRightInd/>
        <w:snapToGrid/>
        <w:spacing w:before="0" w:after="0"/>
        <w:ind w:left="0" w:leftChars="0" w:right="0" w:firstLine="700" w:firstLineChars="200"/>
        <w:jc w:val="both"/>
        <w:textAlignment w:val="auto"/>
        <w:outlineLvl w:val="9"/>
        <w:rPr>
          <w:rFonts w:hint="eastAsia" w:ascii="仿宋_GB2312" w:hAnsi="仿宋_GB2312" w:eastAsia="仿宋_GB2312" w:cs="仿宋_GB2312"/>
          <w:sz w:val="32"/>
          <w:szCs w:val="32"/>
          <w:highlight w:val="none"/>
        </w:rPr>
      </w:pPr>
    </w:p>
    <w:sectPr>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altName w:val="黑体"/>
    <w:panose1 w:val="020B0503020204020204"/>
    <w:charset w:val="86"/>
    <w:family w:val="auto"/>
    <w:pitch w:val="default"/>
    <w:sig w:usb0="80000287" w:usb1="280F3C52" w:usb2="00000016" w:usb3="00000000" w:csb0="0004001F" w:csb1="00000000"/>
  </w:font>
  <w:font w:name="Cambria">
    <w:altName w:val="Palatino Linotype"/>
    <w:panose1 w:val="02040503050406030204"/>
    <w:charset w:val="00"/>
    <w:family w:val="auto"/>
    <w:pitch w:val="default"/>
    <w:sig w:usb0="A00002EF" w:usb1="4000004B" w:usb2="00000000" w:usb3="00000000" w:csb0="2000009F" w:csb1="00000000"/>
  </w:font>
  <w:font w:name="Calibri">
    <w:altName w:val="Lucida Sans"/>
    <w:panose1 w:val="020F0502020204030204"/>
    <w:charset w:val="00"/>
    <w:family w:val="auto"/>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仿宋">
    <w:altName w:val="仿宋_GB2312"/>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080E0000" w:usb2="00000000" w:usb3="00000000" w:csb0="00040001" w:csb1="00000000"/>
  </w:font>
  <w:font w:name="楷体">
    <w:altName w:val="楷体_GB2312"/>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Palatino Linotype">
    <w:panose1 w:val="02040502050505030304"/>
    <w:charset w:val="00"/>
    <w:family w:val="auto"/>
    <w:pitch w:val="default"/>
    <w:sig w:usb0="E0000387" w:usb1="40000013" w:usb2="00000000" w:usb3="00000000" w:csb0="2000019F" w:csb1="00000000"/>
  </w:font>
  <w:font w:name="Lucida Sans">
    <w:panose1 w:val="020B0602030504020204"/>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61123763">
    <w:nsid w:val="5716FAB3"/>
    <w:multiLevelType w:val="singleLevel"/>
    <w:tmpl w:val="5716FAB3"/>
    <w:lvl w:ilvl="0" w:tentative="1">
      <w:start w:val="2"/>
      <w:numFmt w:val="chineseCounting"/>
      <w:suff w:val="nothing"/>
      <w:lvlText w:val="(%1)"/>
      <w:lvlJc w:val="left"/>
    </w:lvl>
  </w:abstractNum>
  <w:abstractNum w:abstractNumId="1454418566">
    <w:nsid w:val="56B0AA86"/>
    <w:multiLevelType w:val="singleLevel"/>
    <w:tmpl w:val="56B0AA86"/>
    <w:lvl w:ilvl="0" w:tentative="1">
      <w:start w:val="1"/>
      <w:numFmt w:val="chineseCounting"/>
      <w:suff w:val="nothing"/>
      <w:lvlText w:val="%1、"/>
      <w:lvlJc w:val="left"/>
    </w:lvl>
  </w:abstractNum>
  <w:num w:numId="1">
    <w:abstractNumId w:val="1454418566"/>
  </w:num>
  <w:num w:numId="2">
    <w:abstractNumId w:val="146112376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2016-02-02T12:20:00Z</dcterms:created>
  <dc:creator>Administrator</dc:creator>
  <cp:lastModifiedBy>Administrator</cp:lastModifiedBy>
  <dcterms:modified xsi:type="dcterms:W3CDTF">2016-06-24T06:56:30Z</dcterms:modified>
  <dc:title>临时用地审批事中事后监管制度</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