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4" Type="http://schemas.openxmlformats.org/officeDocument/2006/relationships/officeDocument" Target="word/document.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rPr>
          <w:rFonts w:hint="eastAsia"/>
          <w:b/>
          <w:sz w:val="44"/>
          <w:szCs w:val="44"/>
          <w:highlight w:val="none"/>
        </w:rPr>
      </w:pPr>
      <w:r>
        <w:rPr>
          <w:rFonts w:hint="eastAsia"/>
          <w:b/>
          <w:sz w:val="44"/>
          <w:szCs w:val="44"/>
          <w:highlight w:val="none"/>
          <w:lang w:eastAsia="zh-CN"/>
        </w:rPr>
        <w:t>县级登记的采矿权审批</w:t>
      </w:r>
      <w:r>
        <w:rPr>
          <w:rFonts w:hint="eastAsia"/>
          <w:b/>
          <w:sz w:val="44"/>
          <w:szCs w:val="44"/>
          <w:highlight w:val="none"/>
        </w:rPr>
        <w:t>事中事后监管制度</w:t>
      </w:r>
    </w:p>
    <w:p>
      <w:pPr>
        <w:rPr>
          <w:rFonts w:hint="eastAsia"/>
          <w:sz w:val="44"/>
          <w:szCs w:val="44"/>
          <w:highlight w:val="none"/>
        </w:rPr>
      </w:pPr>
    </w:p>
    <w:p>
      <w:pPr>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部门（单位）：（公章）</w:t>
      </w:r>
      <w:r>
        <w:rPr>
          <w:rFonts w:hint="eastAsia" w:ascii="仿宋_GB2312" w:hAnsi="仿宋_GB2312" w:eastAsia="仿宋_GB2312" w:cs="仿宋_GB2312"/>
          <w:sz w:val="32"/>
          <w:szCs w:val="32"/>
          <w:highlight w:val="none"/>
          <w:lang w:eastAsia="zh-CN"/>
        </w:rPr>
        <w:t>公主岭市国土资源局</w:t>
      </w:r>
    </w:p>
    <w:p>
      <w:pPr>
        <w:rPr>
          <w:highlight w:val="none"/>
        </w:rPr>
      </w:pPr>
    </w:p>
    <w:p>
      <w:pPr>
        <w:widowControl/>
        <w:numPr>
          <w:ilvl w:val="0"/>
          <w:numId w:val="1"/>
        </w:numPr>
        <w:wordWrap/>
        <w:adjustRightInd/>
        <w:snapToGrid/>
        <w:spacing w:before="0" w:beforeAutospacing="0" w:after="0" w:afterAutospacing="0" w:line="600" w:lineRule="atLeast"/>
        <w:ind w:left="0" w:leftChars="0" w:right="0" w:firstLine="640" w:firstLineChars="200"/>
        <w:jc w:val="left"/>
        <w:textAlignment w:val="auto"/>
        <w:outlineLvl w:val="9"/>
        <w:rPr>
          <w:rFonts w:hint="eastAsia" w:ascii="宋体" w:hAnsi="宋体" w:cs="宋体"/>
          <w:b/>
          <w:bCs/>
          <w:kern w:val="0"/>
          <w:sz w:val="32"/>
          <w:szCs w:val="32"/>
          <w:highlight w:val="none"/>
          <w:lang w:val="en-US" w:eastAsia="zh-CN"/>
        </w:rPr>
      </w:pPr>
      <w:r>
        <w:rPr>
          <w:rFonts w:hint="eastAsia" w:ascii="黑体" w:hAnsi="黑体" w:eastAsia="黑体" w:cs="黑体"/>
          <w:b/>
          <w:bCs/>
          <w:kern w:val="0"/>
          <w:sz w:val="32"/>
          <w:szCs w:val="32"/>
          <w:highlight w:val="none"/>
          <w:lang w:val="en-US" w:eastAsia="zh-CN"/>
        </w:rPr>
        <w:t>监管对象</w:t>
      </w:r>
      <w:r>
        <w:rPr>
          <w:rFonts w:hint="eastAsia" w:ascii="宋体" w:hAnsi="宋体" w:cs="宋体"/>
          <w:b/>
          <w:bCs/>
          <w:kern w:val="0"/>
          <w:sz w:val="32"/>
          <w:szCs w:val="32"/>
          <w:highlight w:val="none"/>
          <w:lang w:val="en-US" w:eastAsia="zh-CN"/>
        </w:rPr>
        <w:t xml:space="preserve">   </w:t>
      </w:r>
    </w:p>
    <w:p>
      <w:pPr>
        <w:widowControl/>
        <w:numPr>
          <w:numId w:val="0"/>
        </w:numPr>
        <w:adjustRightInd/>
        <w:snapToGrid/>
        <w:spacing w:before="0" w:beforeAutospacing="0" w:after="0" w:afterAutospacing="0" w:line="600" w:lineRule="atLeast"/>
        <w:ind w:left="0" w:leftChars="0" w:right="0"/>
        <w:jc w:val="left"/>
        <w:textAlignment w:val="auto"/>
        <w:outlineLvl w:val="9"/>
        <w:rPr>
          <w:rFonts w:hint="eastAsia" w:ascii="仿宋_GB2312" w:hAnsi="仿宋_GB2312" w:eastAsia="仿宋_GB2312" w:cs="仿宋_GB2312"/>
          <w:sz w:val="32"/>
          <w:szCs w:val="32"/>
          <w:highlight w:val="none"/>
        </w:rPr>
      </w:pPr>
      <w:r>
        <w:rPr>
          <w:rFonts w:hint="eastAsia" w:ascii="仿宋_GB2312" w:hAnsi="仿宋_GB2312" w:eastAsia="仿宋_GB2312" w:cs="仿宋_GB2312"/>
          <w:kern w:val="0"/>
          <w:sz w:val="32"/>
          <w:szCs w:val="32"/>
          <w:highlight w:val="none"/>
          <w:lang w:val="en-US" w:eastAsia="zh-CN"/>
        </w:rPr>
        <w:t xml:space="preserve">    全市取得采矿许可证的矿山企业。</w:t>
      </w:r>
    </w:p>
    <w:p>
      <w:pPr>
        <w:widowControl/>
        <w:wordWrap/>
        <w:adjustRightInd/>
        <w:snapToGrid/>
        <w:spacing w:before="0" w:beforeAutospacing="0" w:after="0" w:afterAutospacing="0" w:line="600" w:lineRule="atLeast"/>
        <w:ind w:left="0" w:leftChars="0" w:right="0" w:firstLine="640" w:firstLineChars="200"/>
        <w:jc w:val="left"/>
        <w:textAlignment w:val="auto"/>
        <w:outlineLvl w:val="9"/>
        <w:rPr>
          <w:rFonts w:hint="eastAsia" w:ascii="黑体" w:hAnsi="黑体" w:eastAsia="黑体" w:cs="黑体"/>
          <w:b/>
          <w:bCs/>
          <w:kern w:val="0"/>
          <w:sz w:val="32"/>
          <w:szCs w:val="32"/>
          <w:highlight w:val="none"/>
          <w:lang w:val="en-US" w:eastAsia="zh-CN"/>
        </w:rPr>
      </w:pPr>
      <w:r>
        <w:rPr>
          <w:rFonts w:hint="eastAsia" w:ascii="黑体" w:hAnsi="黑体" w:eastAsia="黑体" w:cs="黑体"/>
          <w:b/>
          <w:bCs/>
          <w:kern w:val="0"/>
          <w:sz w:val="32"/>
          <w:szCs w:val="32"/>
          <w:highlight w:val="none"/>
          <w:lang w:val="en-US" w:eastAsia="zh-CN"/>
        </w:rPr>
        <w:t>二、监管内容</w:t>
      </w:r>
    </w:p>
    <w:p>
      <w:pPr>
        <w:widowControl/>
        <w:wordWrap/>
        <w:adjustRightInd/>
        <w:snapToGrid/>
        <w:spacing w:before="0" w:beforeAutospacing="0" w:after="0" w:afterAutospacing="0" w:line="600" w:lineRule="atLeast"/>
        <w:ind w:left="0" w:leftChars="0" w:right="0" w:firstLine="640" w:firstLineChars="200"/>
        <w:jc w:val="left"/>
        <w:textAlignment w:val="auto"/>
        <w:outlineLvl w:val="9"/>
        <w:rPr>
          <w:rFonts w:hint="eastAsia" w:ascii="仿宋_GB2312" w:hAnsi="仿宋_GB2312" w:eastAsia="仿宋_GB2312" w:cs="仿宋_GB2312"/>
          <w:kern w:val="0"/>
          <w:sz w:val="32"/>
          <w:szCs w:val="32"/>
          <w:highlight w:val="none"/>
          <w:lang w:val="en-US" w:eastAsia="zh-CN"/>
        </w:rPr>
      </w:pPr>
      <w:r>
        <w:rPr>
          <w:rFonts w:hint="eastAsia" w:ascii="仿宋_GB2312" w:hAnsi="仿宋_GB2312" w:eastAsia="仿宋_GB2312" w:cs="仿宋_GB2312"/>
          <w:kern w:val="0"/>
          <w:sz w:val="32"/>
          <w:szCs w:val="32"/>
          <w:highlight w:val="none"/>
          <w:lang w:val="en-US" w:eastAsia="zh-CN"/>
        </w:rPr>
        <w:t>(一)采矿权设置是否符合矿产资源总体规划和矿业权设置方案;</w:t>
      </w:r>
    </w:p>
    <w:p>
      <w:pPr>
        <w:widowControl/>
        <w:wordWrap/>
        <w:adjustRightInd/>
        <w:snapToGrid/>
        <w:spacing w:before="0" w:beforeAutospacing="0" w:after="0" w:afterAutospacing="0" w:line="600" w:lineRule="atLeast"/>
        <w:ind w:left="0" w:leftChars="0" w:right="0" w:firstLine="640" w:firstLineChars="200"/>
        <w:jc w:val="left"/>
        <w:textAlignment w:val="auto"/>
        <w:outlineLvl w:val="9"/>
        <w:rPr>
          <w:rFonts w:hint="eastAsia" w:ascii="仿宋_GB2312" w:hAnsi="仿宋_GB2312" w:eastAsia="仿宋_GB2312" w:cs="仿宋_GB2312"/>
          <w:kern w:val="0"/>
          <w:sz w:val="32"/>
          <w:szCs w:val="32"/>
          <w:highlight w:val="none"/>
          <w:lang w:val="en-US" w:eastAsia="zh-CN"/>
        </w:rPr>
      </w:pPr>
      <w:r>
        <w:rPr>
          <w:rFonts w:hint="eastAsia" w:ascii="仿宋_GB2312" w:hAnsi="仿宋_GB2312" w:eastAsia="仿宋_GB2312" w:cs="仿宋_GB2312"/>
          <w:kern w:val="0"/>
          <w:sz w:val="32"/>
          <w:szCs w:val="32"/>
          <w:highlight w:val="none"/>
          <w:lang w:val="en-US" w:eastAsia="zh-CN"/>
        </w:rPr>
        <w:t>(二)矿产资源开发利用方案或年度开采设计实施情况;</w:t>
      </w:r>
    </w:p>
    <w:p>
      <w:pPr>
        <w:widowControl/>
        <w:wordWrap/>
        <w:adjustRightInd/>
        <w:snapToGrid/>
        <w:spacing w:before="0" w:beforeAutospacing="0" w:after="0" w:afterAutospacing="0" w:line="600" w:lineRule="atLeast"/>
        <w:ind w:left="0" w:leftChars="0" w:right="0" w:firstLine="640" w:firstLineChars="200"/>
        <w:jc w:val="left"/>
        <w:textAlignment w:val="auto"/>
        <w:outlineLvl w:val="9"/>
        <w:rPr>
          <w:rFonts w:hint="eastAsia" w:ascii="仿宋_GB2312" w:hAnsi="仿宋_GB2312" w:eastAsia="仿宋_GB2312" w:cs="仿宋_GB2312"/>
          <w:kern w:val="0"/>
          <w:sz w:val="32"/>
          <w:szCs w:val="32"/>
          <w:highlight w:val="none"/>
          <w:lang w:val="en-US" w:eastAsia="zh-CN"/>
        </w:rPr>
      </w:pPr>
      <w:r>
        <w:rPr>
          <w:rFonts w:hint="eastAsia" w:ascii="仿宋_GB2312" w:hAnsi="仿宋_GB2312" w:eastAsia="仿宋_GB2312" w:cs="仿宋_GB2312"/>
          <w:kern w:val="0"/>
          <w:sz w:val="32"/>
          <w:szCs w:val="32"/>
          <w:highlight w:val="none"/>
          <w:lang w:val="en-US" w:eastAsia="zh-CN"/>
        </w:rPr>
        <w:t>(三)采矿权人按照采矿许可证规定依法采矿情况;</w:t>
      </w:r>
    </w:p>
    <w:p>
      <w:pPr>
        <w:widowControl/>
        <w:wordWrap/>
        <w:adjustRightInd/>
        <w:snapToGrid/>
        <w:spacing w:before="0" w:beforeAutospacing="0" w:after="0" w:afterAutospacing="0" w:line="600" w:lineRule="atLeast"/>
        <w:ind w:left="0" w:leftChars="0" w:right="0" w:firstLine="640" w:firstLineChars="200"/>
        <w:jc w:val="left"/>
        <w:textAlignment w:val="auto"/>
        <w:outlineLvl w:val="9"/>
        <w:rPr>
          <w:rFonts w:hint="eastAsia" w:ascii="仿宋_GB2312" w:hAnsi="仿宋_GB2312" w:eastAsia="仿宋_GB2312" w:cs="仿宋_GB2312"/>
          <w:kern w:val="0"/>
          <w:sz w:val="32"/>
          <w:szCs w:val="32"/>
          <w:highlight w:val="none"/>
          <w:lang w:val="en-US" w:eastAsia="zh-CN"/>
        </w:rPr>
      </w:pPr>
      <w:r>
        <w:rPr>
          <w:rFonts w:hint="eastAsia" w:ascii="仿宋_GB2312" w:hAnsi="仿宋_GB2312" w:eastAsia="仿宋_GB2312" w:cs="仿宋_GB2312"/>
          <w:kern w:val="0"/>
          <w:sz w:val="32"/>
          <w:szCs w:val="32"/>
          <w:highlight w:val="none"/>
          <w:lang w:val="en-US" w:eastAsia="zh-CN"/>
        </w:rPr>
        <w:t>(四)采矿许可证变更、延续及采矿权转让;</w:t>
      </w:r>
    </w:p>
    <w:p>
      <w:pPr>
        <w:widowControl/>
        <w:wordWrap/>
        <w:adjustRightInd/>
        <w:snapToGrid/>
        <w:spacing w:before="0" w:beforeAutospacing="0" w:after="0" w:afterAutospacing="0" w:line="600" w:lineRule="atLeast"/>
        <w:ind w:left="0" w:leftChars="0" w:right="0" w:firstLine="640" w:firstLineChars="200"/>
        <w:jc w:val="left"/>
        <w:textAlignment w:val="auto"/>
        <w:outlineLvl w:val="9"/>
        <w:rPr>
          <w:rFonts w:hint="eastAsia" w:ascii="仿宋_GB2312" w:hAnsi="仿宋_GB2312" w:eastAsia="仿宋_GB2312" w:cs="仿宋_GB2312"/>
          <w:kern w:val="0"/>
          <w:sz w:val="32"/>
          <w:szCs w:val="32"/>
          <w:highlight w:val="none"/>
          <w:lang w:val="en-US" w:eastAsia="zh-CN"/>
        </w:rPr>
      </w:pPr>
      <w:r>
        <w:rPr>
          <w:rFonts w:hint="eastAsia" w:ascii="仿宋_GB2312" w:hAnsi="仿宋_GB2312" w:eastAsia="仿宋_GB2312" w:cs="仿宋_GB2312"/>
          <w:kern w:val="0"/>
          <w:sz w:val="32"/>
          <w:szCs w:val="32"/>
          <w:highlight w:val="none"/>
          <w:lang w:val="en-US" w:eastAsia="zh-CN"/>
        </w:rPr>
        <w:t>(五)矿产资源合理开发利用及“三率”情况;</w:t>
      </w:r>
    </w:p>
    <w:p>
      <w:pPr>
        <w:widowControl/>
        <w:wordWrap/>
        <w:adjustRightInd/>
        <w:snapToGrid/>
        <w:spacing w:before="0" w:beforeAutospacing="0" w:after="0" w:afterAutospacing="0" w:line="600" w:lineRule="atLeast"/>
        <w:ind w:left="0" w:leftChars="0" w:right="0" w:firstLine="640" w:firstLineChars="200"/>
        <w:jc w:val="left"/>
        <w:textAlignment w:val="auto"/>
        <w:outlineLvl w:val="9"/>
        <w:rPr>
          <w:rFonts w:hint="eastAsia" w:ascii="仿宋_GB2312" w:hAnsi="仿宋_GB2312" w:eastAsia="仿宋_GB2312" w:cs="仿宋_GB2312"/>
          <w:kern w:val="0"/>
          <w:sz w:val="32"/>
          <w:szCs w:val="32"/>
          <w:highlight w:val="none"/>
          <w:lang w:val="en-US" w:eastAsia="zh-CN"/>
        </w:rPr>
      </w:pPr>
      <w:r>
        <w:rPr>
          <w:rFonts w:hint="eastAsia" w:ascii="仿宋_GB2312" w:hAnsi="仿宋_GB2312" w:eastAsia="仿宋_GB2312" w:cs="仿宋_GB2312"/>
          <w:kern w:val="0"/>
          <w:sz w:val="32"/>
          <w:szCs w:val="32"/>
          <w:highlight w:val="none"/>
          <w:lang w:val="en-US" w:eastAsia="zh-CN"/>
        </w:rPr>
        <w:t>(六)矿产资源补偿费、采矿权使用费和采矿权价款等法定费用缴纳情况;</w:t>
      </w:r>
    </w:p>
    <w:p>
      <w:pPr>
        <w:widowControl/>
        <w:wordWrap/>
        <w:adjustRightInd/>
        <w:snapToGrid/>
        <w:spacing w:before="0" w:beforeAutospacing="0" w:after="0" w:afterAutospacing="0" w:line="600" w:lineRule="atLeast"/>
        <w:ind w:left="0" w:leftChars="0" w:right="0" w:firstLine="640" w:firstLineChars="200"/>
        <w:jc w:val="left"/>
        <w:textAlignment w:val="auto"/>
        <w:outlineLvl w:val="9"/>
        <w:rPr>
          <w:rFonts w:hint="eastAsia" w:ascii="仿宋_GB2312" w:hAnsi="仿宋_GB2312" w:eastAsia="仿宋_GB2312" w:cs="仿宋_GB2312"/>
          <w:kern w:val="0"/>
          <w:sz w:val="32"/>
          <w:szCs w:val="32"/>
          <w:highlight w:val="none"/>
          <w:lang w:val="en-US" w:eastAsia="zh-CN"/>
        </w:rPr>
      </w:pPr>
      <w:r>
        <w:rPr>
          <w:rFonts w:hint="eastAsia" w:ascii="仿宋_GB2312" w:hAnsi="仿宋_GB2312" w:eastAsia="仿宋_GB2312" w:cs="仿宋_GB2312"/>
          <w:kern w:val="0"/>
          <w:sz w:val="32"/>
          <w:szCs w:val="32"/>
          <w:highlight w:val="none"/>
          <w:lang w:val="en-US" w:eastAsia="zh-CN"/>
        </w:rPr>
        <w:t>(七)矿产资源储量占用登记、矿山储量动态监测和采矿权标识牌设立情况;</w:t>
      </w:r>
    </w:p>
    <w:p>
      <w:pPr>
        <w:widowControl/>
        <w:wordWrap/>
        <w:adjustRightInd/>
        <w:snapToGrid/>
        <w:spacing w:before="0" w:beforeAutospacing="0" w:after="0" w:afterAutospacing="0" w:line="600" w:lineRule="atLeast"/>
        <w:ind w:left="0" w:leftChars="0" w:right="0" w:firstLine="640" w:firstLineChars="200"/>
        <w:jc w:val="left"/>
        <w:textAlignment w:val="auto"/>
        <w:outlineLvl w:val="9"/>
        <w:rPr>
          <w:rFonts w:hint="eastAsia" w:ascii="仿宋_GB2312" w:hAnsi="仿宋_GB2312" w:eastAsia="仿宋_GB2312" w:cs="仿宋_GB2312"/>
          <w:kern w:val="0"/>
          <w:sz w:val="32"/>
          <w:szCs w:val="32"/>
          <w:highlight w:val="none"/>
          <w:lang w:val="en-US" w:eastAsia="zh-CN"/>
        </w:rPr>
      </w:pPr>
      <w:r>
        <w:rPr>
          <w:rFonts w:hint="eastAsia" w:ascii="仿宋_GB2312" w:hAnsi="仿宋_GB2312" w:eastAsia="仿宋_GB2312" w:cs="仿宋_GB2312"/>
          <w:kern w:val="0"/>
          <w:sz w:val="32"/>
          <w:szCs w:val="32"/>
          <w:highlight w:val="none"/>
          <w:lang w:val="en-US" w:eastAsia="zh-CN"/>
        </w:rPr>
        <w:t>(八)履行矿山地质环境恢复治理和土地复垦义务情况，绿色矿山建设情况;</w:t>
      </w:r>
    </w:p>
    <w:p>
      <w:pPr>
        <w:widowControl/>
        <w:wordWrap/>
        <w:adjustRightInd/>
        <w:snapToGrid/>
        <w:spacing w:before="0" w:beforeAutospacing="0" w:after="0" w:afterAutospacing="0" w:line="600" w:lineRule="atLeast"/>
        <w:ind w:left="0" w:leftChars="0" w:right="0" w:firstLine="640" w:firstLineChars="200"/>
        <w:jc w:val="left"/>
        <w:textAlignment w:val="auto"/>
        <w:outlineLvl w:val="9"/>
        <w:rPr>
          <w:rFonts w:hint="eastAsia" w:ascii="仿宋_GB2312" w:hAnsi="仿宋_GB2312" w:eastAsia="仿宋_GB2312" w:cs="仿宋_GB2312"/>
          <w:kern w:val="0"/>
          <w:sz w:val="32"/>
          <w:szCs w:val="32"/>
          <w:highlight w:val="none"/>
          <w:lang w:val="en-US" w:eastAsia="zh-CN"/>
        </w:rPr>
      </w:pPr>
      <w:r>
        <w:rPr>
          <w:rFonts w:hint="eastAsia" w:ascii="仿宋_GB2312" w:hAnsi="仿宋_GB2312" w:eastAsia="仿宋_GB2312" w:cs="仿宋_GB2312"/>
          <w:kern w:val="0"/>
          <w:sz w:val="32"/>
          <w:szCs w:val="32"/>
          <w:highlight w:val="none"/>
          <w:lang w:val="en-US" w:eastAsia="zh-CN"/>
        </w:rPr>
        <w:t>(九)矿产资源节约与综合利用专项实施情况(获得年度专项资金支持的矿山企业);</w:t>
      </w:r>
    </w:p>
    <w:p>
      <w:pPr>
        <w:widowControl/>
        <w:wordWrap/>
        <w:adjustRightInd/>
        <w:snapToGrid/>
        <w:spacing w:before="0" w:beforeAutospacing="0" w:after="0" w:afterAutospacing="0" w:line="600" w:lineRule="atLeast"/>
        <w:ind w:left="0" w:leftChars="0" w:right="0" w:firstLine="640" w:firstLineChars="200"/>
        <w:jc w:val="left"/>
        <w:textAlignment w:val="auto"/>
        <w:outlineLvl w:val="9"/>
        <w:rPr>
          <w:rFonts w:hint="eastAsia" w:ascii="仿宋_GB2312" w:hAnsi="仿宋_GB2312" w:eastAsia="仿宋_GB2312" w:cs="仿宋_GB2312"/>
          <w:kern w:val="0"/>
          <w:sz w:val="32"/>
          <w:szCs w:val="32"/>
          <w:highlight w:val="none"/>
          <w:lang w:val="en-US" w:eastAsia="zh-CN"/>
        </w:rPr>
      </w:pPr>
      <w:r>
        <w:rPr>
          <w:rFonts w:hint="eastAsia" w:ascii="仿宋_GB2312" w:hAnsi="仿宋_GB2312" w:eastAsia="仿宋_GB2312" w:cs="仿宋_GB2312"/>
          <w:kern w:val="0"/>
          <w:sz w:val="32"/>
          <w:szCs w:val="32"/>
          <w:highlight w:val="none"/>
          <w:lang w:val="en-US" w:eastAsia="zh-CN"/>
        </w:rPr>
        <w:t>(十)日常监管、检查和督察中发现问题的整改情况;</w:t>
      </w:r>
    </w:p>
    <w:p>
      <w:pPr>
        <w:widowControl/>
        <w:wordWrap/>
        <w:adjustRightInd/>
        <w:snapToGrid/>
        <w:spacing w:before="0" w:beforeAutospacing="0" w:after="0" w:afterAutospacing="0" w:line="600" w:lineRule="atLeast"/>
        <w:ind w:left="0" w:leftChars="0" w:right="0" w:firstLine="640" w:firstLineChars="200"/>
        <w:jc w:val="left"/>
        <w:textAlignment w:val="auto"/>
        <w:outlineLvl w:val="9"/>
        <w:rPr>
          <w:rFonts w:hint="eastAsia" w:ascii="仿宋_GB2312" w:hAnsi="仿宋_GB2312" w:eastAsia="仿宋_GB2312" w:cs="仿宋_GB2312"/>
          <w:sz w:val="32"/>
          <w:szCs w:val="32"/>
          <w:highlight w:val="none"/>
        </w:rPr>
      </w:pPr>
      <w:r>
        <w:rPr>
          <w:rFonts w:hint="eastAsia" w:ascii="仿宋_GB2312" w:hAnsi="仿宋_GB2312" w:eastAsia="仿宋_GB2312" w:cs="仿宋_GB2312"/>
          <w:kern w:val="0"/>
          <w:sz w:val="32"/>
          <w:szCs w:val="32"/>
          <w:highlight w:val="none"/>
          <w:lang w:val="en-US" w:eastAsia="zh-CN"/>
        </w:rPr>
        <w:t>(十一)有无违反矿产资源法律、法规的其他情况。</w:t>
      </w:r>
    </w:p>
    <w:p>
      <w:pPr>
        <w:widowControl/>
        <w:adjustRightInd/>
        <w:snapToGrid/>
        <w:spacing w:before="0" w:beforeAutospacing="0" w:after="0" w:afterAutospacing="0" w:line="600" w:lineRule="atLeast"/>
        <w:ind w:left="0" w:leftChars="0" w:right="0" w:firstLine="640" w:firstLineChars="200"/>
        <w:jc w:val="left"/>
        <w:textAlignment w:val="auto"/>
        <w:outlineLvl w:val="9"/>
        <w:rPr>
          <w:rFonts w:hint="eastAsia" w:ascii="黑体" w:hAnsi="黑体" w:eastAsia="黑体" w:cs="黑体"/>
          <w:kern w:val="0"/>
          <w:sz w:val="32"/>
          <w:szCs w:val="32"/>
          <w:highlight w:val="none"/>
          <w:lang w:val="en-US" w:eastAsia="zh-CN"/>
        </w:rPr>
      </w:pPr>
      <w:r>
        <w:rPr>
          <w:rFonts w:hint="eastAsia" w:ascii="黑体" w:hAnsi="黑体" w:eastAsia="黑体" w:cs="黑体"/>
          <w:b/>
          <w:bCs/>
          <w:kern w:val="0"/>
          <w:sz w:val="32"/>
          <w:szCs w:val="32"/>
          <w:highlight w:val="none"/>
          <w:lang w:val="en-US" w:eastAsia="zh-CN"/>
        </w:rPr>
        <w:t>三、监管方式</w:t>
      </w:r>
    </w:p>
    <w:p>
      <w:pPr>
        <w:widowControl/>
        <w:adjustRightInd/>
        <w:snapToGrid/>
        <w:spacing w:before="0" w:beforeAutospacing="0" w:after="0" w:afterAutospacing="0" w:line="600" w:lineRule="atLeast"/>
        <w:ind w:left="0" w:leftChars="0" w:right="0" w:firstLine="640" w:firstLineChars="200"/>
        <w:jc w:val="left"/>
        <w:textAlignment w:val="auto"/>
        <w:outlineLvl w:val="9"/>
        <w:rPr>
          <w:rFonts w:hint="eastAsia" w:ascii="仿宋_GB2312" w:hAnsi="仿宋_GB2312" w:eastAsia="仿宋_GB2312" w:cs="仿宋_GB2312"/>
          <w:kern w:val="0"/>
          <w:sz w:val="32"/>
          <w:szCs w:val="32"/>
          <w:highlight w:val="none"/>
          <w:lang w:val="en-US" w:eastAsia="zh-CN"/>
        </w:rPr>
      </w:pPr>
      <w:r>
        <w:rPr>
          <w:rFonts w:hint="eastAsia" w:ascii="仿宋_GB2312" w:hAnsi="仿宋_GB2312" w:eastAsia="仿宋_GB2312" w:cs="仿宋_GB2312"/>
          <w:kern w:val="0"/>
          <w:sz w:val="32"/>
          <w:szCs w:val="32"/>
          <w:highlight w:val="none"/>
          <w:lang w:val="en-US" w:eastAsia="zh-CN"/>
        </w:rPr>
        <w:t>(一)年检。主要包括要求取得采矿许可证的矿山企业每年上报年检电子报盘等生产资料，对企业开展年度检查;</w:t>
      </w:r>
    </w:p>
    <w:p>
      <w:pPr>
        <w:widowControl/>
        <w:adjustRightInd/>
        <w:snapToGrid/>
        <w:spacing w:before="0" w:beforeAutospacing="0" w:after="0" w:afterAutospacing="0" w:line="600" w:lineRule="atLeast"/>
        <w:ind w:left="0" w:leftChars="0" w:right="0" w:firstLine="640" w:firstLineChars="200"/>
        <w:jc w:val="left"/>
        <w:textAlignment w:val="auto"/>
        <w:outlineLvl w:val="9"/>
        <w:rPr>
          <w:rFonts w:hint="eastAsia" w:ascii="仿宋_GB2312" w:hAnsi="仿宋_GB2312" w:eastAsia="仿宋_GB2312" w:cs="仿宋_GB2312"/>
          <w:kern w:val="0"/>
          <w:sz w:val="32"/>
          <w:szCs w:val="32"/>
          <w:highlight w:val="none"/>
          <w:lang w:val="en-US" w:eastAsia="zh-CN"/>
        </w:rPr>
      </w:pPr>
      <w:r>
        <w:rPr>
          <w:rFonts w:hint="eastAsia" w:ascii="仿宋_GB2312" w:hAnsi="仿宋_GB2312" w:eastAsia="仿宋_GB2312" w:cs="仿宋_GB2312"/>
          <w:kern w:val="0"/>
          <w:sz w:val="32"/>
          <w:szCs w:val="32"/>
          <w:highlight w:val="none"/>
          <w:lang w:val="en-US" w:eastAsia="zh-CN"/>
        </w:rPr>
        <w:t>(二)矿产督察。每年组织矿产督察员深入矿山企业对采</w:t>
      </w:r>
      <w:bookmarkStart w:id="0" w:name="_GoBack"/>
      <w:r>
        <w:rPr>
          <w:rFonts w:hint="eastAsia" w:ascii="仿宋_GB2312" w:hAnsi="仿宋_GB2312" w:eastAsia="仿宋_GB2312" w:cs="仿宋_GB2312"/>
          <w:kern w:val="0"/>
          <w:sz w:val="32"/>
          <w:szCs w:val="32"/>
          <w:highlight w:val="none"/>
          <w:lang w:val="en-US" w:eastAsia="zh-CN"/>
        </w:rPr>
        <w:t>矿权人履行法定义务情况进行监督检查。</w:t>
      </w:r>
    </w:p>
    <w:bookmarkEnd w:id="0"/>
    <w:p>
      <w:pPr>
        <w:widowControl/>
        <w:adjustRightInd/>
        <w:snapToGrid/>
        <w:spacing w:before="0" w:beforeAutospacing="0" w:after="0" w:afterAutospacing="0" w:line="600" w:lineRule="atLeast"/>
        <w:ind w:left="0" w:leftChars="0" w:right="0" w:firstLine="640" w:firstLineChars="200"/>
        <w:jc w:val="left"/>
        <w:textAlignment w:val="auto"/>
        <w:outlineLvl w:val="9"/>
        <w:rPr>
          <w:rFonts w:hint="eastAsia" w:ascii="仿宋_GB2312" w:hAnsi="仿宋_GB2312" w:eastAsia="仿宋_GB2312" w:cs="仿宋_GB2312"/>
          <w:sz w:val="32"/>
          <w:szCs w:val="32"/>
          <w:highlight w:val="none"/>
        </w:rPr>
      </w:pPr>
      <w:r>
        <w:rPr>
          <w:rFonts w:hint="eastAsia" w:ascii="仿宋_GB2312" w:hAnsi="仿宋_GB2312" w:eastAsia="仿宋_GB2312" w:cs="仿宋_GB2312"/>
          <w:kern w:val="0"/>
          <w:sz w:val="32"/>
          <w:szCs w:val="32"/>
          <w:highlight w:val="none"/>
          <w:lang w:val="en-US" w:eastAsia="zh-CN"/>
        </w:rPr>
        <w:t>(三)日常巡查。对辖区内矿山企业进行日常巡查，每年监督检查次数不少于三次。</w:t>
      </w:r>
    </w:p>
    <w:p>
      <w:pPr>
        <w:widowControl/>
        <w:adjustRightInd/>
        <w:snapToGrid/>
        <w:spacing w:before="0" w:beforeAutospacing="0" w:after="0" w:afterAutospacing="0" w:line="600" w:lineRule="atLeast"/>
        <w:ind w:left="0" w:leftChars="0" w:right="0" w:firstLine="640" w:firstLineChars="200"/>
        <w:jc w:val="left"/>
        <w:textAlignment w:val="auto"/>
        <w:outlineLvl w:val="9"/>
        <w:rPr>
          <w:rFonts w:hint="eastAsia" w:ascii="宋体" w:hAnsi="宋体" w:eastAsia="宋体" w:cs="宋体"/>
          <w:b/>
          <w:bCs/>
          <w:kern w:val="0"/>
          <w:sz w:val="32"/>
          <w:szCs w:val="32"/>
          <w:highlight w:val="none"/>
          <w:lang w:val="en-US" w:eastAsia="zh-CN"/>
        </w:rPr>
      </w:pPr>
      <w:r>
        <w:rPr>
          <w:rFonts w:hint="eastAsia" w:ascii="宋体" w:hAnsi="宋体" w:eastAsia="宋体" w:cs="宋体"/>
          <w:b/>
          <w:bCs/>
          <w:kern w:val="0"/>
          <w:sz w:val="32"/>
          <w:szCs w:val="32"/>
          <w:highlight w:val="none"/>
          <w:lang w:val="en-US" w:eastAsia="zh-CN"/>
        </w:rPr>
        <w:t>四、监管</w:t>
      </w:r>
      <w:r>
        <w:rPr>
          <w:rFonts w:hint="eastAsia" w:ascii="宋体" w:hAnsi="宋体" w:cs="宋体"/>
          <w:b/>
          <w:bCs/>
          <w:kern w:val="0"/>
          <w:sz w:val="32"/>
          <w:szCs w:val="32"/>
          <w:highlight w:val="none"/>
          <w:lang w:val="en-US" w:eastAsia="zh-CN"/>
        </w:rPr>
        <w:t>措施</w:t>
      </w:r>
    </w:p>
    <w:p>
      <w:pPr>
        <w:widowControl/>
        <w:adjustRightInd/>
        <w:snapToGrid/>
        <w:spacing w:before="0" w:beforeAutospacing="0" w:after="0" w:afterAutospacing="0" w:line="600" w:lineRule="atLeast"/>
        <w:ind w:left="0" w:leftChars="0" w:right="0" w:firstLine="640" w:firstLineChars="200"/>
        <w:jc w:val="left"/>
        <w:textAlignment w:val="auto"/>
        <w:outlineLvl w:val="9"/>
        <w:rPr>
          <w:rFonts w:hint="eastAsia" w:ascii="仿宋_GB2312" w:hAnsi="仿宋_GB2312" w:eastAsia="仿宋_GB2312" w:cs="仿宋_GB2312"/>
          <w:kern w:val="0"/>
          <w:sz w:val="32"/>
          <w:szCs w:val="32"/>
          <w:highlight w:val="none"/>
          <w:lang w:val="en-US" w:eastAsia="zh-CN"/>
        </w:rPr>
      </w:pPr>
      <w:r>
        <w:rPr>
          <w:rFonts w:hint="eastAsia" w:ascii="仿宋_GB2312" w:hAnsi="仿宋_GB2312" w:eastAsia="仿宋_GB2312" w:cs="仿宋_GB2312"/>
          <w:kern w:val="0"/>
          <w:sz w:val="32"/>
          <w:szCs w:val="32"/>
          <w:highlight w:val="none"/>
          <w:lang w:val="en-US" w:eastAsia="zh-CN"/>
        </w:rPr>
        <w:t>对获证企业进行年度检查，日常巡查等，检查合格的，给予加盖年检合格专用章。</w:t>
      </w:r>
    </w:p>
    <w:p>
      <w:pPr>
        <w:widowControl/>
        <w:adjustRightInd/>
        <w:snapToGrid/>
        <w:spacing w:before="0" w:beforeAutospacing="0" w:after="0" w:afterAutospacing="0" w:line="600" w:lineRule="atLeast"/>
        <w:ind w:left="0" w:leftChars="0" w:right="0" w:firstLine="640" w:firstLineChars="200"/>
        <w:jc w:val="left"/>
        <w:textAlignment w:val="auto"/>
        <w:outlineLvl w:val="9"/>
        <w:rPr>
          <w:rFonts w:hint="eastAsia" w:ascii="黑体" w:hAnsi="黑体" w:eastAsia="黑体" w:cs="黑体"/>
          <w:b/>
          <w:bCs/>
          <w:kern w:val="0"/>
          <w:sz w:val="32"/>
          <w:szCs w:val="32"/>
          <w:highlight w:val="none"/>
          <w:lang w:val="en-US" w:eastAsia="zh-CN"/>
        </w:rPr>
      </w:pPr>
      <w:r>
        <w:rPr>
          <w:rFonts w:hint="eastAsia" w:ascii="黑体" w:hAnsi="黑体" w:eastAsia="黑体" w:cs="黑体"/>
          <w:b/>
          <w:bCs/>
          <w:kern w:val="0"/>
          <w:sz w:val="32"/>
          <w:szCs w:val="32"/>
          <w:highlight w:val="none"/>
          <w:lang w:val="en-US" w:eastAsia="zh-CN"/>
        </w:rPr>
        <w:t>五、监管程序</w:t>
      </w:r>
    </w:p>
    <w:p>
      <w:pPr>
        <w:widowControl/>
        <w:adjustRightInd/>
        <w:snapToGrid/>
        <w:spacing w:before="0" w:beforeAutospacing="0" w:after="0" w:afterAutospacing="0" w:line="600" w:lineRule="atLeast"/>
        <w:ind w:left="0" w:leftChars="0" w:right="0" w:firstLine="640" w:firstLineChars="200"/>
        <w:jc w:val="left"/>
        <w:textAlignment w:val="auto"/>
        <w:outlineLvl w:val="9"/>
        <w:rPr>
          <w:rFonts w:hint="eastAsia" w:ascii="仿宋_GB2312" w:hAnsi="仿宋_GB2312" w:eastAsia="仿宋_GB2312" w:cs="仿宋_GB2312"/>
          <w:kern w:val="0"/>
          <w:sz w:val="32"/>
          <w:szCs w:val="32"/>
          <w:highlight w:val="none"/>
          <w:lang w:val="en-US" w:eastAsia="zh-CN"/>
        </w:rPr>
      </w:pPr>
      <w:r>
        <w:rPr>
          <w:rFonts w:hint="eastAsia" w:ascii="仿宋_GB2312" w:hAnsi="仿宋_GB2312" w:eastAsia="仿宋_GB2312" w:cs="仿宋_GB2312"/>
          <w:kern w:val="0"/>
          <w:sz w:val="32"/>
          <w:szCs w:val="32"/>
          <w:highlight w:val="none"/>
          <w:lang w:val="en-US" w:eastAsia="zh-CN"/>
        </w:rPr>
        <w:t>（一）明确任务。每年根据市局下发的年检任务，明确动态检测和日常巡查任务;</w:t>
      </w:r>
    </w:p>
    <w:p>
      <w:pPr>
        <w:widowControl/>
        <w:adjustRightInd/>
        <w:snapToGrid/>
        <w:spacing w:before="0" w:beforeAutospacing="0" w:after="0" w:afterAutospacing="0" w:line="600" w:lineRule="atLeast"/>
        <w:ind w:left="0" w:leftChars="0" w:right="0" w:firstLine="640" w:firstLineChars="200"/>
        <w:jc w:val="left"/>
        <w:textAlignment w:val="auto"/>
        <w:outlineLvl w:val="9"/>
        <w:rPr>
          <w:rFonts w:hint="eastAsia" w:ascii="仿宋_GB2312" w:hAnsi="仿宋_GB2312" w:eastAsia="仿宋_GB2312" w:cs="仿宋_GB2312"/>
          <w:kern w:val="0"/>
          <w:sz w:val="32"/>
          <w:szCs w:val="32"/>
          <w:highlight w:val="none"/>
          <w:lang w:val="en-US" w:eastAsia="zh-CN"/>
        </w:rPr>
      </w:pPr>
      <w:r>
        <w:rPr>
          <w:rFonts w:hint="eastAsia" w:ascii="仿宋_GB2312" w:hAnsi="仿宋_GB2312" w:eastAsia="仿宋_GB2312" w:cs="仿宋_GB2312"/>
          <w:kern w:val="0"/>
          <w:sz w:val="32"/>
          <w:szCs w:val="32"/>
          <w:highlight w:val="none"/>
          <w:lang w:val="en-US" w:eastAsia="zh-CN"/>
        </w:rPr>
        <w:t>（二）报送资料。通知采矿权人按要求报送材料及电子报盘(采矿权人持有两个及以上采矿许可证的，按采矿许可证一证一报);</w:t>
      </w:r>
    </w:p>
    <w:p>
      <w:pPr>
        <w:widowControl/>
        <w:adjustRightInd/>
        <w:snapToGrid/>
        <w:spacing w:before="0" w:beforeAutospacing="0" w:after="0" w:afterAutospacing="0" w:line="600" w:lineRule="atLeast"/>
        <w:ind w:left="0" w:leftChars="0" w:right="0" w:firstLine="640" w:firstLineChars="200"/>
        <w:jc w:val="left"/>
        <w:textAlignment w:val="auto"/>
        <w:outlineLvl w:val="9"/>
        <w:rPr>
          <w:rFonts w:hint="eastAsia" w:ascii="仿宋_GB2312" w:hAnsi="仿宋_GB2312" w:eastAsia="仿宋_GB2312" w:cs="仿宋_GB2312"/>
          <w:kern w:val="0"/>
          <w:sz w:val="32"/>
          <w:szCs w:val="32"/>
          <w:highlight w:val="none"/>
          <w:lang w:val="en-US" w:eastAsia="zh-CN"/>
        </w:rPr>
      </w:pPr>
      <w:r>
        <w:rPr>
          <w:rFonts w:hint="eastAsia" w:ascii="仿宋_GB2312" w:hAnsi="仿宋_GB2312" w:eastAsia="仿宋_GB2312" w:cs="仿宋_GB2312"/>
          <w:kern w:val="0"/>
          <w:sz w:val="32"/>
          <w:szCs w:val="32"/>
          <w:highlight w:val="none"/>
          <w:lang w:val="en-US" w:eastAsia="zh-CN"/>
        </w:rPr>
        <w:t>（三）年检审查。在规定期限内完成对辖区内采矿权人的实地检查(实地检查率不得低于50%)，填写实地检查表，并结合实地检查对采矿权人报送的年检资料进行审查，对本级发证的采矿权人应签署“合格”或“不合格”的意见，对部、省、市级发证的采矿权人提出初审意见;发现问题的，应责令采矿权人限期改正，有违法行为的，应依法予以查处。</w:t>
      </w:r>
    </w:p>
    <w:p>
      <w:pPr>
        <w:widowControl/>
        <w:adjustRightInd/>
        <w:snapToGrid/>
        <w:spacing w:before="0" w:beforeAutospacing="0" w:after="0" w:afterAutospacing="0" w:line="600" w:lineRule="atLeast"/>
        <w:ind w:left="0" w:leftChars="0" w:right="0" w:firstLine="640" w:firstLineChars="200"/>
        <w:jc w:val="left"/>
        <w:textAlignment w:val="auto"/>
        <w:outlineLvl w:val="9"/>
        <w:rPr>
          <w:rFonts w:hint="eastAsia" w:ascii="仿宋_GB2312" w:hAnsi="仿宋_GB2312" w:eastAsia="仿宋_GB2312" w:cs="仿宋_GB2312"/>
          <w:kern w:val="0"/>
          <w:sz w:val="32"/>
          <w:szCs w:val="32"/>
          <w:highlight w:val="none"/>
          <w:lang w:val="en-US" w:eastAsia="zh-CN"/>
        </w:rPr>
      </w:pPr>
      <w:r>
        <w:rPr>
          <w:rFonts w:hint="eastAsia" w:ascii="仿宋_GB2312" w:hAnsi="仿宋_GB2312" w:eastAsia="仿宋_GB2312" w:cs="仿宋_GB2312"/>
          <w:kern w:val="0"/>
          <w:sz w:val="32"/>
          <w:szCs w:val="32"/>
          <w:highlight w:val="none"/>
          <w:lang w:val="en-US" w:eastAsia="zh-CN"/>
        </w:rPr>
        <w:t>（四）年检材料网上报备。于第二年3月底前，将采矿权人报送的电子报盘通过国土资源部网站逐一导入报备系统，录入年检结果和年检情况统计表，上传年检工作总结报告，完成报备。</w:t>
      </w:r>
    </w:p>
    <w:p>
      <w:pPr>
        <w:widowControl/>
        <w:adjustRightInd/>
        <w:snapToGrid/>
        <w:spacing w:before="0" w:beforeAutospacing="0" w:after="0" w:afterAutospacing="0" w:line="600" w:lineRule="atLeast"/>
        <w:ind w:left="0" w:leftChars="0" w:right="0" w:firstLine="640" w:firstLineChars="200"/>
        <w:jc w:val="left"/>
        <w:textAlignment w:val="auto"/>
        <w:outlineLvl w:val="9"/>
        <w:rPr>
          <w:rFonts w:hint="eastAsia" w:ascii="仿宋_GB2312" w:hAnsi="仿宋_GB2312" w:eastAsia="仿宋_GB2312" w:cs="仿宋_GB2312"/>
          <w:sz w:val="32"/>
          <w:szCs w:val="32"/>
          <w:highlight w:val="none"/>
        </w:rPr>
      </w:pPr>
      <w:r>
        <w:rPr>
          <w:rFonts w:hint="eastAsia" w:ascii="仿宋_GB2312" w:hAnsi="仿宋_GB2312" w:eastAsia="仿宋_GB2312" w:cs="仿宋_GB2312"/>
          <w:kern w:val="0"/>
          <w:sz w:val="32"/>
          <w:szCs w:val="32"/>
          <w:highlight w:val="none"/>
          <w:lang w:val="en-US" w:eastAsia="zh-CN"/>
        </w:rPr>
        <w:t>（五）每年组织矿产督察员按照《山东省矿产督察工作制度》要求规定的检查程序对矿山企业进行矿产督察。</w:t>
      </w:r>
    </w:p>
    <w:p>
      <w:pPr>
        <w:pStyle w:val="2"/>
        <w:widowControl/>
        <w:wordWrap w:val="0"/>
        <w:adjustRightInd/>
        <w:snapToGrid/>
        <w:spacing w:before="0" w:beforeAutospacing="0" w:after="0" w:afterAutospacing="0" w:line="560" w:lineRule="atLeast"/>
        <w:ind w:left="0" w:leftChars="0" w:right="0" w:firstLine="640" w:firstLineChars="200"/>
        <w:textAlignment w:val="auto"/>
        <w:outlineLvl w:val="9"/>
        <w:rPr>
          <w:rFonts w:hint="eastAsia" w:ascii="黑体" w:hAnsi="黑体" w:eastAsia="黑体" w:cs="黑体"/>
          <w:b/>
          <w:bCs/>
          <w:kern w:val="0"/>
          <w:sz w:val="32"/>
          <w:szCs w:val="32"/>
          <w:highlight w:val="none"/>
          <w:lang w:val="en-US" w:eastAsia="zh-CN"/>
        </w:rPr>
      </w:pPr>
      <w:r>
        <w:rPr>
          <w:rFonts w:hint="eastAsia" w:ascii="黑体" w:hAnsi="黑体" w:eastAsia="黑体" w:cs="黑体"/>
          <w:b/>
          <w:bCs/>
          <w:kern w:val="0"/>
          <w:sz w:val="32"/>
          <w:szCs w:val="32"/>
          <w:highlight w:val="none"/>
          <w:lang w:val="en-US" w:eastAsia="zh-CN"/>
        </w:rPr>
        <w:t>六、违规处理</w:t>
      </w:r>
    </w:p>
    <w:p>
      <w:pPr>
        <w:widowControl/>
        <w:adjustRightInd/>
        <w:snapToGrid/>
        <w:spacing w:before="0" w:beforeAutospacing="0" w:after="0" w:afterAutospacing="0" w:line="600" w:lineRule="atLeast"/>
        <w:ind w:left="0" w:leftChars="0" w:right="0" w:firstLine="640" w:firstLineChars="200"/>
        <w:jc w:val="left"/>
        <w:textAlignment w:val="auto"/>
        <w:outlineLvl w:val="9"/>
        <w:rPr>
          <w:rFonts w:hint="eastAsia" w:ascii="仿宋_GB2312" w:hAnsi="仿宋_GB2312" w:eastAsia="仿宋_GB2312" w:cs="仿宋_GB2312"/>
          <w:b w:val="0"/>
          <w:spacing w:val="15"/>
          <w:sz w:val="32"/>
          <w:szCs w:val="32"/>
          <w:highlight w:val="none"/>
        </w:rPr>
      </w:pPr>
      <w:r>
        <w:rPr>
          <w:rFonts w:hint="eastAsia" w:ascii="仿宋_GB2312" w:hAnsi="仿宋_GB2312" w:eastAsia="仿宋_GB2312" w:cs="仿宋_GB2312"/>
          <w:b w:val="0"/>
          <w:spacing w:val="15"/>
          <w:sz w:val="32"/>
          <w:szCs w:val="32"/>
          <w:highlight w:val="none"/>
          <w:lang w:eastAsia="zh-CN"/>
        </w:rPr>
        <w:t>（一）</w:t>
      </w:r>
      <w:r>
        <w:rPr>
          <w:rFonts w:hint="eastAsia" w:ascii="仿宋_GB2312" w:hAnsi="仿宋_GB2312" w:eastAsia="仿宋_GB2312" w:cs="仿宋_GB2312"/>
          <w:b w:val="0"/>
          <w:spacing w:val="15"/>
          <w:sz w:val="32"/>
          <w:szCs w:val="32"/>
          <w:highlight w:val="none"/>
        </w:rPr>
        <w:t>发现</w:t>
      </w:r>
      <w:r>
        <w:rPr>
          <w:rFonts w:hint="eastAsia" w:ascii="仿宋_GB2312" w:hAnsi="仿宋_GB2312" w:eastAsia="仿宋_GB2312" w:cs="仿宋_GB2312"/>
          <w:kern w:val="0"/>
          <w:sz w:val="32"/>
          <w:szCs w:val="32"/>
          <w:highlight w:val="none"/>
          <w:lang w:val="en-US" w:eastAsia="zh-CN"/>
        </w:rPr>
        <w:t>矿山企业</w:t>
      </w:r>
      <w:r>
        <w:rPr>
          <w:rFonts w:hint="eastAsia" w:ascii="仿宋_GB2312" w:hAnsi="仿宋_GB2312" w:eastAsia="仿宋_GB2312" w:cs="仿宋_GB2312"/>
          <w:b w:val="0"/>
          <w:spacing w:val="15"/>
          <w:sz w:val="32"/>
          <w:szCs w:val="32"/>
          <w:highlight w:val="none"/>
        </w:rPr>
        <w:t>使用者未按照审批内容</w:t>
      </w:r>
      <w:r>
        <w:rPr>
          <w:rFonts w:hint="eastAsia" w:ascii="仿宋_GB2312" w:hAnsi="仿宋_GB2312" w:eastAsia="仿宋_GB2312" w:cs="仿宋_GB2312"/>
          <w:b w:val="0"/>
          <w:spacing w:val="15"/>
          <w:sz w:val="32"/>
          <w:szCs w:val="32"/>
          <w:highlight w:val="none"/>
          <w:lang w:eastAsia="zh-CN"/>
        </w:rPr>
        <w:t>开采</w:t>
      </w:r>
      <w:r>
        <w:rPr>
          <w:rFonts w:hint="eastAsia" w:ascii="仿宋_GB2312" w:hAnsi="仿宋_GB2312" w:eastAsia="仿宋_GB2312" w:cs="仿宋_GB2312"/>
          <w:b w:val="0"/>
          <w:spacing w:val="15"/>
          <w:sz w:val="32"/>
          <w:szCs w:val="32"/>
          <w:highlight w:val="none"/>
        </w:rPr>
        <w:t>，产生违法行为的，移交监</w:t>
      </w:r>
      <w:r>
        <w:rPr>
          <w:rFonts w:hint="eastAsia" w:ascii="仿宋_GB2312" w:hAnsi="仿宋_GB2312" w:eastAsia="仿宋_GB2312" w:cs="仿宋_GB2312"/>
          <w:b w:val="0"/>
          <w:spacing w:val="15"/>
          <w:sz w:val="32"/>
          <w:szCs w:val="32"/>
          <w:highlight w:val="none"/>
          <w:lang w:eastAsia="zh-CN"/>
        </w:rPr>
        <w:t>察大队</w:t>
      </w:r>
      <w:r>
        <w:rPr>
          <w:rFonts w:hint="eastAsia" w:ascii="仿宋_GB2312" w:hAnsi="仿宋_GB2312" w:eastAsia="仿宋_GB2312" w:cs="仿宋_GB2312"/>
          <w:b w:val="0"/>
          <w:spacing w:val="15"/>
          <w:sz w:val="32"/>
          <w:szCs w:val="32"/>
          <w:highlight w:val="none"/>
        </w:rPr>
        <w:t>依法查处。</w:t>
      </w:r>
    </w:p>
    <w:p>
      <w:pPr>
        <w:widowControl/>
        <w:adjustRightInd/>
        <w:snapToGrid/>
        <w:spacing w:before="0" w:beforeAutospacing="0" w:after="0" w:afterAutospacing="0" w:line="600" w:lineRule="atLeast"/>
        <w:ind w:left="0" w:leftChars="0" w:right="0" w:firstLine="640" w:firstLineChars="200"/>
        <w:jc w:val="left"/>
        <w:textAlignment w:val="auto"/>
        <w:outlineLvl w:val="9"/>
        <w:rPr>
          <w:rFonts w:hint="eastAsia" w:ascii="仿宋_GB2312" w:hAnsi="仿宋_GB2312" w:eastAsia="仿宋_GB2312" w:cs="仿宋_GB2312"/>
          <w:kern w:val="0"/>
          <w:sz w:val="32"/>
          <w:szCs w:val="32"/>
          <w:highlight w:val="none"/>
          <w:lang w:val="en-US" w:eastAsia="zh-CN"/>
        </w:rPr>
      </w:pPr>
      <w:r>
        <w:rPr>
          <w:rFonts w:hint="eastAsia" w:ascii="仿宋_GB2312" w:hAnsi="仿宋_GB2312" w:eastAsia="仿宋_GB2312" w:cs="仿宋_GB2312"/>
          <w:kern w:val="0"/>
          <w:sz w:val="32"/>
          <w:szCs w:val="32"/>
          <w:highlight w:val="none"/>
          <w:lang w:val="en-US" w:eastAsia="zh-CN"/>
        </w:rPr>
        <w:t>（二）检查不合格的，检查实施机关发现采矿权人有下列情形之一的，应当下发整改通知，责令采矿权人限期改正。</w:t>
      </w:r>
    </w:p>
    <w:p>
      <w:pPr>
        <w:widowControl/>
        <w:adjustRightInd/>
        <w:snapToGrid/>
        <w:spacing w:before="0" w:beforeAutospacing="0" w:after="0" w:afterAutospacing="0" w:line="600" w:lineRule="atLeast"/>
        <w:ind w:left="0" w:leftChars="0" w:right="0" w:firstLine="640" w:firstLineChars="200"/>
        <w:jc w:val="left"/>
        <w:textAlignment w:val="auto"/>
        <w:outlineLvl w:val="9"/>
        <w:rPr>
          <w:rFonts w:hint="eastAsia" w:ascii="仿宋_GB2312" w:hAnsi="仿宋_GB2312" w:eastAsia="仿宋_GB2312" w:cs="仿宋_GB2312"/>
          <w:kern w:val="0"/>
          <w:sz w:val="32"/>
          <w:szCs w:val="32"/>
          <w:highlight w:val="none"/>
          <w:lang w:val="en-US" w:eastAsia="zh-CN"/>
        </w:rPr>
      </w:pPr>
      <w:r>
        <w:rPr>
          <w:rFonts w:hint="eastAsia" w:ascii="仿宋_GB2312" w:hAnsi="仿宋_GB2312" w:eastAsia="仿宋_GB2312" w:cs="仿宋_GB2312"/>
          <w:kern w:val="0"/>
          <w:sz w:val="32"/>
          <w:szCs w:val="32"/>
          <w:highlight w:val="none"/>
          <w:lang w:val="en-US" w:eastAsia="zh-CN"/>
        </w:rPr>
        <w:t>（三）在期限内未完成整改或经复查仍不合格的，年检确定为不合格，并移交有处罚权的国土资源主管部门依法进行处罚。</w:t>
      </w:r>
    </w:p>
    <w:p>
      <w:pPr>
        <w:widowControl/>
        <w:adjustRightInd/>
        <w:snapToGrid/>
        <w:spacing w:before="0" w:beforeAutospacing="0" w:after="0" w:afterAutospacing="0" w:line="600" w:lineRule="atLeast"/>
        <w:ind w:left="0" w:leftChars="0" w:right="0" w:firstLine="640" w:firstLineChars="200"/>
        <w:jc w:val="left"/>
        <w:textAlignment w:val="auto"/>
        <w:outlineLvl w:val="9"/>
        <w:rPr>
          <w:rFonts w:hint="eastAsia" w:ascii="仿宋_GB2312" w:hAnsi="仿宋_GB2312" w:eastAsia="仿宋_GB2312" w:cs="仿宋_GB2312"/>
          <w:kern w:val="0"/>
          <w:sz w:val="32"/>
          <w:szCs w:val="32"/>
          <w:highlight w:val="none"/>
          <w:lang w:val="en-US" w:eastAsia="zh-CN"/>
        </w:rPr>
      </w:pPr>
      <w:r>
        <w:rPr>
          <w:rFonts w:hint="eastAsia" w:ascii="仿宋_GB2312" w:hAnsi="仿宋_GB2312" w:eastAsia="仿宋_GB2312" w:cs="仿宋_GB2312"/>
          <w:kern w:val="0"/>
          <w:sz w:val="32"/>
          <w:szCs w:val="32"/>
          <w:highlight w:val="none"/>
          <w:lang w:val="en-US" w:eastAsia="zh-CN"/>
        </w:rPr>
        <w:t>1. 故意逃避或拒绝检查的;</w:t>
      </w:r>
    </w:p>
    <w:p>
      <w:pPr>
        <w:widowControl/>
        <w:adjustRightInd/>
        <w:snapToGrid/>
        <w:spacing w:before="0" w:beforeAutospacing="0" w:after="0" w:afterAutospacing="0" w:line="600" w:lineRule="atLeast"/>
        <w:ind w:left="0" w:leftChars="0" w:right="0" w:firstLine="640" w:firstLineChars="200"/>
        <w:jc w:val="left"/>
        <w:textAlignment w:val="auto"/>
        <w:outlineLvl w:val="9"/>
        <w:rPr>
          <w:rFonts w:hint="eastAsia" w:ascii="仿宋_GB2312" w:hAnsi="仿宋_GB2312" w:eastAsia="仿宋_GB2312" w:cs="仿宋_GB2312"/>
          <w:kern w:val="0"/>
          <w:sz w:val="32"/>
          <w:szCs w:val="32"/>
          <w:highlight w:val="none"/>
          <w:lang w:val="en-US" w:eastAsia="zh-CN"/>
        </w:rPr>
      </w:pPr>
      <w:r>
        <w:rPr>
          <w:rFonts w:hint="eastAsia" w:ascii="仿宋_GB2312" w:hAnsi="仿宋_GB2312" w:eastAsia="仿宋_GB2312" w:cs="仿宋_GB2312"/>
          <w:kern w:val="0"/>
          <w:sz w:val="32"/>
          <w:szCs w:val="32"/>
          <w:highlight w:val="none"/>
          <w:lang w:val="en-US" w:eastAsia="zh-CN"/>
        </w:rPr>
        <w:t>2. 提交的资料不齐全、不符合规定或弄虚作假的;</w:t>
      </w:r>
    </w:p>
    <w:p>
      <w:pPr>
        <w:widowControl/>
        <w:adjustRightInd/>
        <w:snapToGrid/>
        <w:spacing w:before="0" w:beforeAutospacing="0" w:after="0" w:afterAutospacing="0" w:line="600" w:lineRule="atLeast"/>
        <w:ind w:left="0" w:leftChars="0" w:right="0" w:firstLine="640" w:firstLineChars="200"/>
        <w:jc w:val="left"/>
        <w:textAlignment w:val="auto"/>
        <w:outlineLvl w:val="9"/>
        <w:rPr>
          <w:rFonts w:hint="eastAsia" w:ascii="仿宋_GB2312" w:hAnsi="仿宋_GB2312" w:eastAsia="仿宋_GB2312" w:cs="仿宋_GB2312"/>
          <w:kern w:val="0"/>
          <w:sz w:val="32"/>
          <w:szCs w:val="32"/>
          <w:highlight w:val="none"/>
          <w:lang w:val="en-US" w:eastAsia="zh-CN"/>
        </w:rPr>
      </w:pPr>
      <w:r>
        <w:rPr>
          <w:rFonts w:hint="eastAsia" w:ascii="仿宋_GB2312" w:hAnsi="仿宋_GB2312" w:eastAsia="仿宋_GB2312" w:cs="仿宋_GB2312"/>
          <w:kern w:val="0"/>
          <w:sz w:val="32"/>
          <w:szCs w:val="32"/>
          <w:highlight w:val="none"/>
          <w:lang w:val="en-US" w:eastAsia="zh-CN"/>
        </w:rPr>
        <w:t>3. 未依法办理采矿许可证变更、延续、转让手续的或采矿许可证过期的;抵押采矿权后不登记备案的;</w:t>
      </w:r>
    </w:p>
    <w:p>
      <w:pPr>
        <w:widowControl/>
        <w:adjustRightInd/>
        <w:snapToGrid/>
        <w:spacing w:before="0" w:beforeAutospacing="0" w:after="0" w:afterAutospacing="0" w:line="600" w:lineRule="atLeast"/>
        <w:ind w:left="0" w:leftChars="0" w:right="0" w:firstLine="640" w:firstLineChars="200"/>
        <w:jc w:val="left"/>
        <w:textAlignment w:val="auto"/>
        <w:outlineLvl w:val="9"/>
        <w:rPr>
          <w:rFonts w:hint="eastAsia" w:ascii="仿宋_GB2312" w:hAnsi="仿宋_GB2312" w:eastAsia="仿宋_GB2312" w:cs="仿宋_GB2312"/>
          <w:kern w:val="0"/>
          <w:sz w:val="32"/>
          <w:szCs w:val="32"/>
          <w:highlight w:val="none"/>
          <w:lang w:val="en-US" w:eastAsia="zh-CN"/>
        </w:rPr>
      </w:pPr>
      <w:r>
        <w:rPr>
          <w:rFonts w:hint="eastAsia" w:ascii="仿宋_GB2312" w:hAnsi="仿宋_GB2312" w:eastAsia="仿宋_GB2312" w:cs="仿宋_GB2312"/>
          <w:kern w:val="0"/>
          <w:sz w:val="32"/>
          <w:szCs w:val="32"/>
          <w:highlight w:val="none"/>
          <w:lang w:val="en-US" w:eastAsia="zh-CN"/>
        </w:rPr>
        <w:t>4. 未依法履行矿产资源储量占用登记手续、未按要求开展矿山储量动态检测和不提交矿山储量年报的;</w:t>
      </w:r>
    </w:p>
    <w:p>
      <w:pPr>
        <w:widowControl/>
        <w:adjustRightInd/>
        <w:snapToGrid/>
        <w:spacing w:before="0" w:beforeAutospacing="0" w:after="0" w:afterAutospacing="0" w:line="600" w:lineRule="atLeast"/>
        <w:ind w:left="0" w:leftChars="0" w:right="0" w:firstLine="640" w:firstLineChars="200"/>
        <w:jc w:val="left"/>
        <w:textAlignment w:val="auto"/>
        <w:outlineLvl w:val="9"/>
        <w:rPr>
          <w:rFonts w:hint="eastAsia" w:ascii="仿宋_GB2312" w:hAnsi="仿宋_GB2312" w:eastAsia="仿宋_GB2312" w:cs="仿宋_GB2312"/>
          <w:kern w:val="0"/>
          <w:sz w:val="32"/>
          <w:szCs w:val="32"/>
          <w:highlight w:val="none"/>
          <w:lang w:val="en-US" w:eastAsia="zh-CN"/>
        </w:rPr>
      </w:pPr>
      <w:r>
        <w:rPr>
          <w:rFonts w:hint="eastAsia" w:ascii="仿宋_GB2312" w:hAnsi="仿宋_GB2312" w:eastAsia="仿宋_GB2312" w:cs="仿宋_GB2312"/>
          <w:kern w:val="0"/>
          <w:sz w:val="32"/>
          <w:szCs w:val="32"/>
          <w:highlight w:val="none"/>
          <w:lang w:val="en-US" w:eastAsia="zh-CN"/>
        </w:rPr>
        <w:t>5. 未设立采矿权标识牌，破坏或擅自移动矿区范围界桩或地面标志的;</w:t>
      </w:r>
    </w:p>
    <w:p>
      <w:pPr>
        <w:widowControl/>
        <w:adjustRightInd/>
        <w:snapToGrid/>
        <w:spacing w:before="0" w:beforeAutospacing="0" w:after="0" w:afterAutospacing="0" w:line="600" w:lineRule="atLeast"/>
        <w:ind w:left="0" w:leftChars="0" w:right="0" w:firstLine="640" w:firstLineChars="200"/>
        <w:jc w:val="left"/>
        <w:textAlignment w:val="auto"/>
        <w:outlineLvl w:val="9"/>
        <w:rPr>
          <w:rFonts w:hint="eastAsia" w:ascii="仿宋_GB2312" w:hAnsi="仿宋_GB2312" w:eastAsia="仿宋_GB2312" w:cs="仿宋_GB2312"/>
          <w:kern w:val="0"/>
          <w:sz w:val="32"/>
          <w:szCs w:val="32"/>
          <w:highlight w:val="none"/>
          <w:lang w:val="en-US" w:eastAsia="zh-CN"/>
        </w:rPr>
      </w:pPr>
      <w:r>
        <w:rPr>
          <w:rFonts w:hint="eastAsia" w:ascii="仿宋_GB2312" w:hAnsi="仿宋_GB2312" w:eastAsia="仿宋_GB2312" w:cs="仿宋_GB2312"/>
          <w:kern w:val="0"/>
          <w:sz w:val="32"/>
          <w:szCs w:val="32"/>
          <w:highlight w:val="none"/>
          <w:lang w:val="en-US" w:eastAsia="zh-CN"/>
        </w:rPr>
        <w:t>6. 未依法履行矿产资源补偿费、采矿权使用费、采矿权价款等缴纳义务的;</w:t>
      </w:r>
    </w:p>
    <w:p>
      <w:pPr>
        <w:widowControl/>
        <w:adjustRightInd/>
        <w:snapToGrid/>
        <w:spacing w:before="0" w:beforeAutospacing="0" w:after="0" w:afterAutospacing="0" w:line="600" w:lineRule="atLeast"/>
        <w:ind w:left="0" w:leftChars="0" w:right="0" w:firstLine="640" w:firstLineChars="200"/>
        <w:jc w:val="left"/>
        <w:textAlignment w:val="auto"/>
        <w:outlineLvl w:val="9"/>
        <w:rPr>
          <w:rFonts w:hint="eastAsia" w:ascii="仿宋_GB2312" w:hAnsi="仿宋_GB2312" w:eastAsia="仿宋_GB2312" w:cs="仿宋_GB2312"/>
          <w:kern w:val="0"/>
          <w:sz w:val="32"/>
          <w:szCs w:val="32"/>
          <w:highlight w:val="none"/>
          <w:lang w:val="en-US" w:eastAsia="zh-CN"/>
        </w:rPr>
      </w:pPr>
      <w:r>
        <w:rPr>
          <w:rFonts w:hint="eastAsia" w:ascii="仿宋_GB2312" w:hAnsi="仿宋_GB2312" w:eastAsia="仿宋_GB2312" w:cs="仿宋_GB2312"/>
          <w:kern w:val="0"/>
          <w:sz w:val="32"/>
          <w:szCs w:val="32"/>
          <w:highlight w:val="none"/>
          <w:lang w:val="en-US" w:eastAsia="zh-CN"/>
        </w:rPr>
        <w:t>7. 违反矿产资源法的规定，越界开采矿产资源的;采取破坏性的开采方法，造成矿产资源严重破坏的;“三率”指标达不到规定标准的;</w:t>
      </w:r>
    </w:p>
    <w:p>
      <w:pPr>
        <w:widowControl/>
        <w:adjustRightInd/>
        <w:snapToGrid/>
        <w:spacing w:before="0" w:beforeAutospacing="0" w:after="0" w:afterAutospacing="0" w:line="600" w:lineRule="atLeast"/>
        <w:ind w:left="0" w:leftChars="0" w:right="0" w:firstLine="640" w:firstLineChars="200"/>
        <w:jc w:val="left"/>
        <w:textAlignment w:val="auto"/>
        <w:outlineLvl w:val="9"/>
        <w:rPr>
          <w:rFonts w:hint="eastAsia" w:ascii="仿宋_GB2312" w:hAnsi="仿宋_GB2312" w:eastAsia="仿宋_GB2312" w:cs="仿宋_GB2312"/>
          <w:kern w:val="0"/>
          <w:sz w:val="32"/>
          <w:szCs w:val="32"/>
          <w:highlight w:val="none"/>
          <w:lang w:val="en-US" w:eastAsia="zh-CN"/>
        </w:rPr>
      </w:pPr>
      <w:r>
        <w:rPr>
          <w:rFonts w:hint="eastAsia" w:ascii="仿宋_GB2312" w:hAnsi="仿宋_GB2312" w:eastAsia="仿宋_GB2312" w:cs="仿宋_GB2312"/>
          <w:kern w:val="0"/>
          <w:sz w:val="32"/>
          <w:szCs w:val="32"/>
          <w:highlight w:val="none"/>
          <w:lang w:val="en-US" w:eastAsia="zh-CN"/>
        </w:rPr>
        <w:t>8.未依法履行矿山地质环境保护与恢复治理及土地复垦义务的;</w:t>
      </w:r>
    </w:p>
    <w:p>
      <w:pPr>
        <w:widowControl/>
        <w:adjustRightInd/>
        <w:snapToGrid/>
        <w:spacing w:before="0" w:beforeAutospacing="0" w:after="0" w:afterAutospacing="0" w:line="600" w:lineRule="atLeast"/>
        <w:ind w:left="0" w:leftChars="0" w:right="0" w:firstLine="640" w:firstLineChars="200"/>
        <w:jc w:val="left"/>
        <w:textAlignment w:val="auto"/>
        <w:outlineLvl w:val="9"/>
        <w:rPr>
          <w:rFonts w:hint="eastAsia" w:ascii="仿宋_GB2312" w:hAnsi="仿宋_GB2312" w:eastAsia="仿宋_GB2312" w:cs="仿宋_GB2312"/>
          <w:kern w:val="0"/>
          <w:sz w:val="32"/>
          <w:szCs w:val="32"/>
          <w:highlight w:val="none"/>
          <w:lang w:val="en-US" w:eastAsia="zh-CN"/>
        </w:rPr>
      </w:pPr>
      <w:r>
        <w:rPr>
          <w:rFonts w:hint="eastAsia" w:ascii="仿宋_GB2312" w:hAnsi="仿宋_GB2312" w:eastAsia="仿宋_GB2312" w:cs="仿宋_GB2312"/>
          <w:kern w:val="0"/>
          <w:sz w:val="32"/>
          <w:szCs w:val="32"/>
          <w:highlight w:val="none"/>
          <w:lang w:val="en-US" w:eastAsia="zh-CN"/>
        </w:rPr>
        <w:t>9.矿产资源节约与综合利用专项资金使用不符合规定的;</w:t>
      </w:r>
    </w:p>
    <w:p>
      <w:pPr>
        <w:widowControl/>
        <w:adjustRightInd/>
        <w:snapToGrid/>
        <w:spacing w:before="0" w:beforeAutospacing="0" w:after="0" w:afterAutospacing="0" w:line="600" w:lineRule="atLeast"/>
        <w:ind w:left="0" w:leftChars="0" w:right="0" w:firstLine="640" w:firstLineChars="200"/>
        <w:jc w:val="left"/>
        <w:textAlignment w:val="auto"/>
        <w:outlineLvl w:val="9"/>
        <w:rPr>
          <w:rFonts w:hint="eastAsia" w:ascii="仿宋_GB2312" w:hAnsi="仿宋_GB2312" w:eastAsia="仿宋_GB2312" w:cs="仿宋_GB2312"/>
          <w:kern w:val="0"/>
          <w:sz w:val="32"/>
          <w:szCs w:val="32"/>
          <w:highlight w:val="none"/>
          <w:lang w:val="en-US" w:eastAsia="zh-CN"/>
        </w:rPr>
      </w:pPr>
      <w:r>
        <w:rPr>
          <w:rFonts w:hint="eastAsia" w:ascii="仿宋_GB2312" w:hAnsi="仿宋_GB2312" w:eastAsia="仿宋_GB2312" w:cs="仿宋_GB2312"/>
          <w:kern w:val="0"/>
          <w:sz w:val="32"/>
          <w:szCs w:val="32"/>
          <w:highlight w:val="none"/>
          <w:lang w:val="en-US" w:eastAsia="zh-CN"/>
        </w:rPr>
        <w:t>10.应建设绿色矿山而未建设的;</w:t>
      </w:r>
    </w:p>
    <w:p>
      <w:pPr>
        <w:widowControl/>
        <w:adjustRightInd/>
        <w:snapToGrid/>
        <w:spacing w:before="0" w:beforeAutospacing="0" w:after="0" w:afterAutospacing="0" w:line="600" w:lineRule="atLeast"/>
        <w:ind w:left="0" w:leftChars="0" w:right="0" w:firstLine="640" w:firstLineChars="200"/>
        <w:jc w:val="left"/>
        <w:textAlignment w:val="auto"/>
        <w:outlineLvl w:val="9"/>
        <w:rPr>
          <w:rFonts w:hint="eastAsia" w:ascii="仿宋_GB2312" w:hAnsi="仿宋_GB2312" w:eastAsia="仿宋_GB2312" w:cs="仿宋_GB2312"/>
          <w:kern w:val="0"/>
          <w:sz w:val="32"/>
          <w:szCs w:val="32"/>
          <w:highlight w:val="none"/>
          <w:lang w:val="en-US" w:eastAsia="zh-CN"/>
        </w:rPr>
      </w:pPr>
      <w:r>
        <w:rPr>
          <w:rFonts w:hint="eastAsia" w:ascii="仿宋_GB2312" w:hAnsi="仿宋_GB2312" w:eastAsia="仿宋_GB2312" w:cs="仿宋_GB2312"/>
          <w:kern w:val="0"/>
          <w:sz w:val="32"/>
          <w:szCs w:val="32"/>
          <w:highlight w:val="none"/>
          <w:lang w:val="en-US" w:eastAsia="zh-CN"/>
        </w:rPr>
        <w:t>11.受到国土资源主管部门处罚未履行到位的;对上一年度年检和日常监督、检查、督察中发现问题整改不到位的;</w:t>
      </w:r>
    </w:p>
    <w:p>
      <w:pPr>
        <w:widowControl/>
        <w:adjustRightInd/>
        <w:snapToGrid/>
        <w:spacing w:before="0" w:beforeAutospacing="0" w:after="0" w:afterAutospacing="0" w:line="600" w:lineRule="atLeast"/>
        <w:ind w:left="0" w:leftChars="0" w:right="0" w:firstLine="640" w:firstLineChars="200"/>
        <w:jc w:val="left"/>
        <w:textAlignment w:val="auto"/>
        <w:outlineLvl w:val="9"/>
        <w:rPr>
          <w:rFonts w:hint="eastAsia" w:ascii="仿宋_GB2312" w:hAnsi="仿宋_GB2312" w:eastAsia="仿宋_GB2312" w:cs="仿宋_GB2312"/>
          <w:kern w:val="0"/>
          <w:sz w:val="32"/>
          <w:szCs w:val="32"/>
          <w:highlight w:val="none"/>
          <w:lang w:val="en-US" w:eastAsia="zh-CN"/>
        </w:rPr>
      </w:pPr>
      <w:r>
        <w:rPr>
          <w:rFonts w:hint="eastAsia" w:ascii="仿宋_GB2312" w:hAnsi="仿宋_GB2312" w:eastAsia="仿宋_GB2312" w:cs="仿宋_GB2312"/>
          <w:kern w:val="0"/>
          <w:sz w:val="32"/>
          <w:szCs w:val="32"/>
          <w:highlight w:val="none"/>
          <w:lang w:val="en-US" w:eastAsia="zh-CN"/>
        </w:rPr>
        <w:t>12.违反矿产资源法律法规的其他情况。</w:t>
      </w:r>
    </w:p>
    <w:p>
      <w:pPr>
        <w:pStyle w:val="2"/>
        <w:widowControl/>
        <w:wordWrap w:val="0"/>
        <w:adjustRightInd/>
        <w:snapToGrid/>
        <w:spacing w:before="0" w:beforeAutospacing="0" w:after="0" w:afterAutospacing="0" w:line="560" w:lineRule="atLeast"/>
        <w:ind w:left="0" w:leftChars="0" w:right="0" w:firstLine="640" w:firstLineChars="200"/>
        <w:textAlignment w:val="auto"/>
        <w:outlineLvl w:val="9"/>
        <w:rPr>
          <w:rFonts w:hint="eastAsia" w:ascii="仿宋_GB2312" w:hAnsi="仿宋_GB2312" w:eastAsia="仿宋_GB2312" w:cs="仿宋_GB2312"/>
          <w:sz w:val="32"/>
          <w:szCs w:val="32"/>
          <w:highlight w:val="none"/>
        </w:rPr>
      </w:pPr>
    </w:p>
    <w:p>
      <w:pPr>
        <w:widowControl/>
        <w:adjustRightInd/>
        <w:snapToGrid/>
        <w:spacing w:before="0" w:beforeAutospacing="0" w:after="0" w:afterAutospacing="0" w:line="600" w:lineRule="atLeast"/>
        <w:ind w:left="0" w:leftChars="0" w:right="0" w:firstLine="640" w:firstLineChars="200"/>
        <w:jc w:val="left"/>
        <w:textAlignment w:val="auto"/>
        <w:outlineLvl w:val="9"/>
        <w:rPr>
          <w:rFonts w:hint="eastAsia" w:ascii="仿宋_GB2312" w:hAnsi="仿宋_GB2312" w:eastAsia="仿宋_GB2312" w:cs="仿宋_GB2312"/>
          <w:b/>
          <w:bCs/>
          <w:kern w:val="0"/>
          <w:sz w:val="32"/>
          <w:szCs w:val="32"/>
          <w:highlight w:val="none"/>
          <w:lang w:val="en-US" w:eastAsia="zh-CN"/>
        </w:rPr>
      </w:pPr>
    </w:p>
    <w:p>
      <w:pPr>
        <w:adjustRightInd/>
        <w:snapToGrid/>
        <w:spacing w:before="0" w:after="0"/>
        <w:ind w:left="0" w:leftChars="0" w:right="0" w:firstLine="640" w:firstLineChars="200"/>
        <w:textAlignment w:val="auto"/>
        <w:outlineLvl w:val="9"/>
        <w:rPr>
          <w:highlight w:val="none"/>
        </w:rPr>
      </w:pPr>
    </w:p>
    <w:sectPr>
      <w:pgSz w:w="11906" w:h="16838"/>
      <w:pgMar w:top="1440" w:right="1800" w:bottom="1440" w:left="1800" w:header="851" w:footer="992" w:gutter="0"/>
      <w:cols w:space="720" w:num="1"/>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Tahoma">
    <w:panose1 w:val="020B0604030504040204"/>
    <w:charset w:val="00"/>
    <w:family w:val="auto"/>
    <w:pitch w:val="default"/>
    <w:sig w:usb0="61007A87" w:usb1="80000000" w:usb2="00000008" w:usb3="00000000" w:csb0="200101FF" w:csb1="20280000"/>
  </w:font>
  <w:font w:name="Symbol">
    <w:panose1 w:val="05050102010706020507"/>
    <w:charset w:val="02"/>
    <w:family w:val="roman"/>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Wingdings">
    <w:panose1 w:val="05000000000000000000"/>
    <w:charset w:val="02"/>
    <w:family w:val="auto"/>
    <w:pitch w:val="default"/>
    <w:sig w:usb0="00000000" w:usb1="00000000" w:usb2="00000000" w:usb3="00000000" w:csb0="80000000" w:csb1="00000000"/>
  </w:font>
  <w:font w:name="微软雅黑">
    <w:altName w:val="黑体"/>
    <w:panose1 w:val="020B0503020204020204"/>
    <w:charset w:val="86"/>
    <w:family w:val="auto"/>
    <w:pitch w:val="default"/>
    <w:sig w:usb0="80000287" w:usb1="280F3C52" w:usb2="00000016" w:usb3="00000000" w:csb0="0004001F" w:csb1="00000000"/>
  </w:font>
  <w:font w:name="Cambria">
    <w:altName w:val="Palatino Linotype"/>
    <w:panose1 w:val="02040503050406030204"/>
    <w:charset w:val="00"/>
    <w:family w:val="auto"/>
    <w:pitch w:val="default"/>
    <w:sig w:usb0="A00002EF" w:usb1="4000004B" w:usb2="00000000" w:usb3="00000000" w:csb0="2000009F" w:csb1="00000000"/>
  </w:font>
  <w:font w:name="Calibri">
    <w:altName w:val="Lucida Sans"/>
    <w:panose1 w:val="020F0502020204030204"/>
    <w:charset w:val="00"/>
    <w:family w:val="auto"/>
    <w:pitch w:val="default"/>
    <w:sig w:usb0="A00002EF" w:usb1="4000207B" w:usb2="00000000" w:usb3="00000000" w:csb0="2000009F" w:csb1="00000000"/>
  </w:font>
  <w:font w:name="仿宋_GB2312">
    <w:panose1 w:val="02010609030101010101"/>
    <w:charset w:val="86"/>
    <w:family w:val="auto"/>
    <w:pitch w:val="default"/>
    <w:sig w:usb0="00000001" w:usb1="080E0000" w:usb2="00000000" w:usb3="00000000" w:csb0="00040000" w:csb1="00000000"/>
  </w:font>
  <w:font w:name="仿宋">
    <w:altName w:val="仿宋_GB2312"/>
    <w:panose1 w:val="02010609060101010101"/>
    <w:charset w:val="86"/>
    <w:family w:val="auto"/>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 w:name="新宋体">
    <w:panose1 w:val="02010609030101010101"/>
    <w:charset w:val="86"/>
    <w:family w:val="auto"/>
    <w:pitch w:val="default"/>
    <w:sig w:usb0="00000003" w:usb1="080E0000" w:usb2="00000000" w:usb3="00000000" w:csb0="00040001" w:csb1="00000000"/>
  </w:font>
  <w:font w:name="楷体">
    <w:altName w:val="楷体_GB2312"/>
    <w:panose1 w:val="02010609060101010101"/>
    <w:charset w:val="86"/>
    <w:family w:val="auto"/>
    <w:pitch w:val="default"/>
    <w:sig w:usb0="800002BF" w:usb1="38CF7CFA" w:usb2="00000016" w:usb3="00000000" w:csb0="00040001" w:csb1="00000000"/>
  </w:font>
  <w:font w:name="Palatino Linotype">
    <w:panose1 w:val="02040502050505030304"/>
    <w:charset w:val="00"/>
    <w:family w:val="auto"/>
    <w:pitch w:val="default"/>
    <w:sig w:usb0="E0000387" w:usb1="40000013" w:usb2="00000000" w:usb3="00000000" w:csb0="2000019F" w:csb1="00000000"/>
  </w:font>
  <w:font w:name="Lucida Sans">
    <w:panose1 w:val="020B0602030504020204"/>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1460428410">
    <w:nsid w:val="570C5E7A"/>
    <w:multiLevelType w:val="singleLevel"/>
    <w:tmpl w:val="570C5E7A"/>
    <w:lvl w:ilvl="0" w:tentative="1">
      <w:start w:val="1"/>
      <w:numFmt w:val="chineseCounting"/>
      <w:suff w:val="nothing"/>
      <w:lvlText w:val="%1、"/>
      <w:lvlJc w:val="left"/>
    </w:lvl>
  </w:abstractNum>
  <w:num w:numId="1">
    <w:abstractNumId w:val="14604284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BreakWrappedTables/>
    <w:doNotWrapTextWithPunct/>
    <w:doNotUseEastAsianBreakRules/>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156"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semiHidden="0" w:name="annotation subject"/>
    <w:lsdException w:unhideWhenUsed="0" w:uiPriority="0" w:semiHidden="0" w:name="Balloon Text"/>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uiPriority w:val="0"/>
  </w:style>
  <w:style w:type="paragraph" w:styleId="2">
    <w:name w:val="Normal (Web)"/>
    <w:basedOn w:val="1"/>
    <w:uiPriority w:val="0"/>
    <w:rPr>
      <w:sz w:val="24"/>
    </w:rPr>
  </w:style>
</w:styles>
</file>

<file path=word/_rels/document.xml.rels><?xml version="1.0" encoding="UTF-8" standalone="yes"?>
<Relationships xmlns="http://schemas.openxmlformats.org/package/2006/relationships"><Relationship Id="rId1" Type="http://schemas.openxmlformats.org/officeDocument/2006/relationships/fontTable" Target="fontTable.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customXml" Target="../customXml/item1.xml"/><Relationship Id="rId6" Type="http://schemas.openxmlformats.org/officeDocument/2006/relationships/numbering" Target="numbering.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 专业版_9.1.0.4337_{F1E327BC-269C-435d-A152-05C5408002CA}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2016-02-02T12:29:00Z</dcterms:created>
  <dc:creator>Administrator</dc:creator>
  <cp:lastModifiedBy>Administrator</cp:lastModifiedBy>
  <dcterms:modified xsi:type="dcterms:W3CDTF">2016-06-24T06:56:21Z</dcterms:modified>
  <dc:title>县级登记的采矿权审批事中事后监管制度</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2052-9.1.0.4337</vt:lpwstr>
  </property>
</Properties>
</file>