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pacing w:line="560" w:lineRule="exact"/>
        <w:jc w:val="center"/>
        <w:rPr>
          <w:rFonts w:ascii="宋体"/>
          <w:b/>
          <w:bCs/>
          <w:sz w:val="44"/>
          <w:szCs w:val="44"/>
        </w:rPr>
      </w:pPr>
    </w:p>
    <w:p>
      <w:pPr>
        <w:shd w:val="clear" w:color="auto" w:fill="FFFFFF"/>
        <w:spacing w:line="560" w:lineRule="exact"/>
        <w:jc w:val="center"/>
        <w:rPr>
          <w:rFonts w:ascii="宋体"/>
          <w:b w:val="0"/>
          <w:bCs w:val="0"/>
          <w:sz w:val="44"/>
          <w:szCs w:val="44"/>
        </w:rPr>
      </w:pPr>
      <w:r>
        <w:rPr>
          <w:rFonts w:hint="eastAsia" w:ascii="宋体" w:hAnsi="宋体"/>
          <w:b w:val="0"/>
          <w:bCs w:val="0"/>
          <w:sz w:val="44"/>
          <w:szCs w:val="44"/>
        </w:rPr>
        <w:t>野生植物保护事中事后监管制度</w:t>
      </w:r>
    </w:p>
    <w:p>
      <w:pPr>
        <w:shd w:val="clear" w:color="auto" w:fill="FFFFFF"/>
        <w:spacing w:line="560" w:lineRule="exact"/>
        <w:jc w:val="center"/>
        <w:rPr>
          <w:rFonts w:ascii="宋体"/>
          <w:b/>
          <w:bCs/>
          <w:sz w:val="44"/>
          <w:szCs w:val="44"/>
        </w:rPr>
      </w:pPr>
    </w:p>
    <w:p>
      <w:pPr>
        <w:shd w:val="clear" w:color="auto" w:fill="FFFFFF"/>
        <w:spacing w:line="56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部门（单位）：公主岭市农业局</w:t>
      </w:r>
    </w:p>
    <w:p>
      <w:pPr>
        <w:widowControl/>
        <w:shd w:val="clear" w:color="auto" w:fill="FFFFFF"/>
        <w:spacing w:line="360" w:lineRule="auto"/>
        <w:ind w:firstLine="600" w:firstLineChars="200"/>
        <w:rPr>
          <w:rFonts w:ascii="宋体" w:cs="宋体"/>
          <w:kern w:val="0"/>
          <w:sz w:val="30"/>
          <w:szCs w:val="30"/>
        </w:rPr>
      </w:pPr>
    </w:p>
    <w:p>
      <w:pPr>
        <w:widowControl/>
        <w:shd w:val="clear" w:color="auto" w:fill="FFFFFF"/>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为了保护、发展和合理利用野生植物资源，保护生物多样性，维护生态平衡</w:t>
      </w:r>
      <w:r>
        <w:rPr>
          <w:rFonts w:hint="eastAsia" w:ascii="仿宋_GB2312" w:hAnsi="仿宋_GB2312" w:eastAsia="仿宋_GB2312" w:cs="仿宋_GB2312"/>
          <w:sz w:val="32"/>
          <w:szCs w:val="32"/>
        </w:rPr>
        <w:t>，特制定本制度。</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一、监管对象</w:t>
      </w:r>
    </w:p>
    <w:p>
      <w:pPr>
        <w:shd w:val="clear" w:color="auto" w:fill="FFFFFF"/>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在辖区内从事原生地天然生长的珍贵植物和原生地天然生长并具有重要经济、科学研究、文化价值的濒危、稀有植物的保护、发展和利用活动的单位及个人。</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二、监管内容</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未取得采集证或者未按照采集证的规定采集国家重点保护野生植物的；出售、收购国家重点保护野生植物的；伪造、倒卖、转让采集证、允许进出口证明书或者有关批准文件、标签的；外国人在中国境内采集、收购国家重点保护野生植物，或者未经批准对国家重点保护野生植物进行野外考察的等行为。</w:t>
      </w:r>
    </w:p>
    <w:p>
      <w:pPr>
        <w:shd w:val="clear" w:color="auto" w:fill="FFFFFF"/>
        <w:spacing w:line="560" w:lineRule="exact"/>
        <w:ind w:firstLine="640" w:firstLineChars="200"/>
        <w:rPr>
          <w:rFonts w:hint="eastAsia" w:ascii="黑体" w:hAnsi="黑体" w:eastAsia="黑体" w:cs="黑体"/>
          <w:sz w:val="32"/>
          <w:szCs w:val="32"/>
        </w:rPr>
      </w:pPr>
      <w:bookmarkStart w:id="0" w:name="_GoBack"/>
      <w:r>
        <w:rPr>
          <w:rFonts w:hint="eastAsia" w:ascii="黑体" w:hAnsi="黑体" w:eastAsia="黑体" w:cs="黑体"/>
          <w:sz w:val="32"/>
          <w:szCs w:val="32"/>
        </w:rPr>
        <w:t>三、监管方式</w:t>
      </w:r>
    </w:p>
    <w:bookmarkEnd w:id="0"/>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（一）采取抽查的方式进行。</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（二）组织开展执法检查工作或者执法监管检查工作。</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（三）监管检查的部门有权查阅有关行政执法案卷和相关文件材料；实施现场检查。受查单位及其有关人员应</w:t>
      </w:r>
      <w:r>
        <w:rPr>
          <w:rFonts w:hint="eastAsia" w:ascii="宋体" w:hAnsi="宋体"/>
          <w:sz w:val="32"/>
          <w:szCs w:val="32"/>
        </w:rPr>
        <w:t>当予</w:t>
      </w:r>
      <w:r>
        <w:rPr>
          <w:rFonts w:hint="eastAsia" w:ascii="仿宋_GB2312" w:hAnsi="仿宋_GB2312" w:eastAsia="仿宋_GB2312" w:cs="仿宋_GB2312"/>
          <w:sz w:val="32"/>
          <w:szCs w:val="32"/>
        </w:rPr>
        <w:t>以协助和配合，如实反映情况，提供有关资料，不得隐瞒、阻挠或者拒绝行政执法监管检查。</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（四）在监管检查工作过程中，对问题梳理归纳并提出整改意见，对问题单位予以通报乃至处罚。</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（五）根据公民、法人或者其他组织的建议、反映、申诉等，对破坏野生植物的行为组织调查。调查结果及时反馈。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四、监管措施</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农业部门在依法履行职责过程中，发现重大违法行为或者存在严重事故隐患时，应当责令有关单位立即停止违法行为，采取措施消除事故隐患，并及时向上级监管部门报告，接到报告的监管部门应当采取必要措施，及时予以处理。对违法行为、严重事故隐患的处理需要当地人民政府和有关部门的支持、配合时，负责监管的部门应当报告当地人民政府，并通知其他有关部门，当地人民政府和其他有关部门应当采取必要措施，及时予以处理。</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五、监管程序</w:t>
      </w:r>
    </w:p>
    <w:p>
      <w:pPr>
        <w:pStyle w:val="2"/>
        <w:spacing w:line="480" w:lineRule="auto"/>
        <w:ind w:firstLine="48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施监督检查时，遵守《农业行政处罚程序规定》，有两名以上农业行政执法人员参加，并出示有效的农业行政执法证件。实施监督检查，对每次监督检查的内容、发现问题及处理情况作出记录，并由参加监督检查的农业行政执法人员和被检查单位的有关负责人签字后归档。被检查单位有关负责人拒绝签字的，农业行政执法人员应当将情况记录在案。</w:t>
      </w:r>
    </w:p>
    <w:p>
      <w:pPr>
        <w:shd w:val="clear" w:color="auto" w:fill="FFFFFF"/>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六、违规处理</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行使野生植物保护检查的人员在行使职权活动中，造成不良影响或危害后果者，由有权机关追究责任：</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（一）违反法律、法规、规章规定实施行政检查的；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（二）超越法定权限实施行政行为的；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（三）违反规定跨辖区实施行政执法行为的；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（四）在办案过程中，为违法嫌疑人通风报信，泄露案情，致使违法行为未受处理或者给办案造成困难的；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（五）无法定依据、违反法定程序或者超过法定范围实施行政处罚的；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（六）阻碍行政相对人行使申诉、听证、复议、诉讼和其他合法权利，情节恶劣，造成严重后果的；</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（七）无正当理由拒不执行或者错误执行发生法律效力的行政判决、裁定、复议决定和其他纠正违法行为的决定的。</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A0000287" w:usb1="28C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99"/>
  </w:style>
  <w:style w:type="paragraph" w:styleId="2">
    <w:name w:val="Normal (Web)"/>
    <w:basedOn w:val="1"/>
    <w:uiPriority w:val="99"/>
    <w:pPr>
      <w:widowControl/>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3</Pages>
  <Words>181</Words>
  <Characters>1037</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2016-01-20T02:45:00Z</dcterms:created>
  <dc:creator>user</dc:creator>
  <cp:lastModifiedBy>ying</cp:lastModifiedBy>
  <cp:lastPrinted>2015-10-08T07:10:00Z</cp:lastPrinted>
  <dcterms:modified xsi:type="dcterms:W3CDTF">2016-04-23T10:45:48Z</dcterms:modified>
  <dc:title>基本农田保护监管事中事后监管制度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