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hd w:val="clear" w:color="auto" w:fill="FFFFFF"/>
        <w:spacing w:line="560" w:lineRule="exact"/>
        <w:jc w:val="center"/>
        <w:rPr>
          <w:rFonts w:ascii="宋体"/>
          <w:b/>
          <w:bCs/>
          <w:sz w:val="44"/>
          <w:szCs w:val="44"/>
        </w:rPr>
      </w:pPr>
    </w:p>
    <w:p>
      <w:pPr>
        <w:shd w:val="clear" w:color="auto" w:fill="FFFFFF"/>
        <w:spacing w:line="560" w:lineRule="exact"/>
        <w:jc w:val="center"/>
        <w:rPr>
          <w:rFonts w:ascii="宋体"/>
          <w:b/>
          <w:bCs/>
          <w:sz w:val="44"/>
          <w:szCs w:val="44"/>
        </w:rPr>
      </w:pPr>
      <w:r>
        <w:rPr>
          <w:rFonts w:hint="eastAsia" w:ascii="宋体" w:hAnsi="宋体"/>
          <w:b/>
          <w:bCs/>
          <w:sz w:val="44"/>
          <w:szCs w:val="44"/>
        </w:rPr>
        <w:t>耕地质量保护事中事后监管制度</w:t>
      </w:r>
    </w:p>
    <w:p>
      <w:pPr>
        <w:shd w:val="clear" w:color="auto" w:fill="FFFFFF"/>
        <w:spacing w:line="560" w:lineRule="exact"/>
        <w:jc w:val="center"/>
        <w:rPr>
          <w:rFonts w:ascii="宋体"/>
          <w:b/>
          <w:bCs/>
          <w:sz w:val="44"/>
          <w:szCs w:val="44"/>
        </w:rPr>
      </w:pPr>
    </w:p>
    <w:p>
      <w:pPr>
        <w:shd w:val="clear" w:color="auto" w:fill="FFFFFF"/>
        <w:spacing w:line="560" w:lineRule="exact"/>
        <w:rPr>
          <w:rFonts w:ascii="宋体" w:cs="仿宋"/>
          <w:sz w:val="30"/>
          <w:szCs w:val="30"/>
        </w:rPr>
      </w:pPr>
      <w:r>
        <w:rPr>
          <w:rFonts w:hint="eastAsia" w:ascii="宋体" w:hAnsi="宋体" w:cs="仿宋"/>
          <w:sz w:val="30"/>
          <w:szCs w:val="30"/>
        </w:rPr>
        <w:t>部门（单位）：公主岭市农业局</w:t>
      </w:r>
    </w:p>
    <w:p>
      <w:pPr>
        <w:widowControl/>
        <w:shd w:val="clear" w:color="auto" w:fill="FFFFFF"/>
        <w:spacing w:line="360" w:lineRule="auto"/>
        <w:ind w:firstLine="600" w:firstLineChars="200"/>
        <w:rPr>
          <w:rFonts w:ascii="宋体" w:cs="宋体"/>
          <w:color w:val="333333"/>
          <w:kern w:val="0"/>
          <w:sz w:val="30"/>
          <w:szCs w:val="30"/>
        </w:rPr>
      </w:pPr>
    </w:p>
    <w:p>
      <w:pPr>
        <w:widowControl/>
        <w:shd w:val="clear" w:color="auto" w:fill="FFFFFF"/>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333333"/>
          <w:kern w:val="0"/>
          <w:sz w:val="32"/>
          <w:szCs w:val="32"/>
        </w:rPr>
        <w:t>为了保护耕地资源，提高耕地质量，促进农业可持续发展，根据国家有关法律法规，</w:t>
      </w:r>
      <w:r>
        <w:rPr>
          <w:rFonts w:hint="eastAsia" w:ascii="仿宋_GB2312" w:hAnsi="仿宋_GB2312" w:eastAsia="仿宋_GB2312" w:cs="仿宋_GB2312"/>
          <w:sz w:val="32"/>
          <w:szCs w:val="32"/>
        </w:rPr>
        <w:t>特制定本制度。</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一、监管对象</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333333"/>
          <w:kern w:val="0"/>
          <w:sz w:val="32"/>
          <w:szCs w:val="32"/>
        </w:rPr>
        <w:t>在本市行政区域内从事耕地质量保护及其相关活动的</w:t>
      </w:r>
      <w:r>
        <w:rPr>
          <w:rFonts w:hint="eastAsia" w:ascii="仿宋_GB2312" w:hAnsi="仿宋_GB2312" w:eastAsia="仿宋_GB2312" w:cs="仿宋_GB2312"/>
          <w:color w:val="000000"/>
          <w:spacing w:val="16"/>
          <w:kern w:val="0"/>
          <w:sz w:val="32"/>
          <w:szCs w:val="32"/>
        </w:rPr>
        <w:t>单位或个人。</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二、监管内容</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333333"/>
          <w:kern w:val="0"/>
          <w:sz w:val="32"/>
          <w:szCs w:val="32"/>
        </w:rPr>
        <w:t>向耕地排放或者倾倒废水、废气、固体废物等危害耕地质量的有毒有害物质的； 损毁或者非法占用农田基础设施的；在耕作中使用不符合国家农田灌溉水质标准的废水和污水灌溉的、使用未经无害化处理或者虽经处理仍不符合国家规定标准的固体废物作肥料的、施用应当登记而未登记的肥料或者超过规定范围使用农药的；损坏、擅自变动耕地质量监测点的基础设施和永久性标志的；</w:t>
      </w:r>
      <w:r>
        <w:rPr>
          <w:rFonts w:hint="eastAsia" w:ascii="仿宋_GB2312" w:hAnsi="仿宋_GB2312" w:eastAsia="仿宋_GB2312" w:cs="仿宋_GB2312"/>
          <w:kern w:val="0"/>
          <w:sz w:val="32"/>
          <w:szCs w:val="32"/>
        </w:rPr>
        <w:t>损坏耕作层未修复等行为。</w:t>
      </w:r>
    </w:p>
    <w:p>
      <w:pPr>
        <w:shd w:val="clear" w:color="auto" w:fill="FFFFFF"/>
        <w:spacing w:line="560" w:lineRule="exact"/>
        <w:ind w:firstLine="640" w:firstLineChars="200"/>
        <w:rPr>
          <w:rFonts w:hint="eastAsia" w:ascii="黑体" w:hAnsi="黑体" w:eastAsia="黑体" w:cs="黑体"/>
          <w:sz w:val="32"/>
          <w:szCs w:val="32"/>
        </w:rPr>
      </w:pPr>
      <w:bookmarkStart w:id="0" w:name="_GoBack"/>
      <w:r>
        <w:rPr>
          <w:rFonts w:hint="eastAsia" w:ascii="黑体" w:hAnsi="黑体" w:eastAsia="黑体" w:cs="黑体"/>
          <w:sz w:val="32"/>
          <w:szCs w:val="32"/>
        </w:rPr>
        <w:t>三、监管方式</w:t>
      </w:r>
    </w:p>
    <w:bookmarkEnd w:id="0"/>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（一）采取抽查的方式进行。</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（二）组织开展执法检查工作或者执法监管检查工作。</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（三）监管检查的部门有权查阅有关行政执法案卷和相关文件材料；实施现场检查。受查单位及其有关人员应当予以协助和配合，如实反映情况，提供有关资料，不得隐瞒、阻挠或者拒绝行政执法监管检查。</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（四）在监管检查工作过程中，对问题梳理归纳并提出整改意见，对问题单位予以通报乃至处罚。</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（五）根据公民、法人或者其他组织的建议、反映、申诉等，对破坏耕地质量行为组织调查。调查结果及时反馈。</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四、监管措施</w:t>
      </w:r>
    </w:p>
    <w:p>
      <w:pPr>
        <w:pStyle w:val="2"/>
        <w:spacing w:line="480" w:lineRule="auto"/>
        <w:ind w:firstLine="48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农业部门在依法履行职责过程中，发现重大违法行为或者存在严重事故隐患时，应当责令有关单位立即停止违法行为，采取措施消除事故隐患，并及时向上级监管部门报告，接到报告的监管部门应当采取必要措施，及时予以处理。对违法行为、严重事故隐患的处理需要当地人民政府和有关部门的支持、配合时，负责监管的部门应当报告当地人民政府，并通知其他有关部门，当地人民政府和其他有关部门应当采取必要措施，及时予以处理。</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五、监管程序</w:t>
      </w:r>
    </w:p>
    <w:p>
      <w:pPr>
        <w:pStyle w:val="2"/>
        <w:spacing w:line="480" w:lineRule="auto"/>
        <w:ind w:firstLine="48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实施监督检查时，遵守《农业行政处罚程序规定》，有两名以上农业行政执法人员参加，并出示有效的农业行政执法证件。实施监督检查，对每次监督检查的内容、发现问题及处理情况作出记录，并由参加监督检查的农业行政执法人员和被检查单位的有关负责人签字后归档。被检查单位有关负责人拒绝签字的，农业行政执法人员应当将情况记录在案。</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六、违规处理</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行使耕地质量保护检查的人员在行使职权活动中，造成不良影响或危害后果者，由有权机关追究责任：</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（一）违反法律、法规、规章规定实施行政检查的；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（二）超越法定权限实施行政行为的；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（三）违反规定跨辖区实施行政执法行为的；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（四）在办案过程中，为违法嫌疑人通风报信，泄露案情，致使违法行为未受处理或者给办案造成困难的；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（五）无法定依据、违反法定程序或者超过法定范围实施行政处罚的；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（六）阻碍行政相对人行使申诉、听证、复议、诉讼和其他合法权利，情节恶劣，造成严重后果的；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（七）无正当理由拒不执行或者错误执行发生法律效力的行政判决、裁定、复议决定和其他纠正违法行为的决定的。</w:t>
      </w: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A0000287" w:usb1="28C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nhideWhenUsed="0" w:uiPriority="99"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99"/>
  </w:style>
  <w:style w:type="paragraph" w:styleId="2">
    <w:name w:val="Normal (Web)"/>
    <w:basedOn w:val="1"/>
    <w:uiPriority w:val="99"/>
    <w:pPr>
      <w:widowControl/>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3</Pages>
  <Words>178</Words>
  <Characters>1019</Characters>
  <Lines>0</Lines>
  <Paragraphs>0</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2016-01-19T08:07:00Z</dcterms:created>
  <dc:creator>user</dc:creator>
  <cp:lastModifiedBy>ying</cp:lastModifiedBy>
  <cp:lastPrinted>2015-10-08T07:10:00Z</cp:lastPrinted>
  <dcterms:modified xsi:type="dcterms:W3CDTF">2016-04-23T10:44:09Z</dcterms:modified>
  <dc:title>基本农田保护监管事中事后监管制度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